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3DEA" w14:textId="77777777" w:rsidR="00FD7E5F" w:rsidRPr="00B205DA" w:rsidRDefault="00FD7E5F" w:rsidP="00B205DA">
      <w:pPr>
        <w:spacing w:after="0" w:line="240" w:lineRule="auto"/>
        <w:jc w:val="both"/>
        <w:rPr>
          <w:rFonts w:ascii="Century Gothic" w:hAnsi="Century Gothic"/>
          <w:bCs/>
          <w:sz w:val="28"/>
          <w:szCs w:val="28"/>
        </w:rPr>
      </w:pPr>
    </w:p>
    <w:p w14:paraId="5EAD84A1" w14:textId="53311160" w:rsidR="00484F74" w:rsidRPr="00B205DA" w:rsidRDefault="00994DA4" w:rsidP="00B205DA">
      <w:pPr>
        <w:pBdr>
          <w:bottom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B205DA">
        <w:rPr>
          <w:rFonts w:ascii="Century Gothic" w:hAnsi="Century Gothic"/>
          <w:b/>
          <w:sz w:val="28"/>
          <w:szCs w:val="28"/>
        </w:rPr>
        <w:t>Réflexion</w:t>
      </w:r>
      <w:r w:rsidR="00484F74" w:rsidRPr="00B205DA">
        <w:rPr>
          <w:rFonts w:ascii="Century Gothic" w:hAnsi="Century Gothic"/>
          <w:b/>
          <w:sz w:val="28"/>
          <w:szCs w:val="28"/>
        </w:rPr>
        <w:t xml:space="preserve"> </w:t>
      </w:r>
    </w:p>
    <w:p w14:paraId="4F123CFC" w14:textId="77777777" w:rsidR="00B205DA" w:rsidRPr="00B205DA" w:rsidRDefault="00B205DA" w:rsidP="00B205DA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0388B90B" w14:textId="36CECB63" w:rsidR="00BD1795" w:rsidRPr="00B205DA" w:rsidRDefault="00E67D04" w:rsidP="00B205DA">
      <w:pPr>
        <w:spacing w:after="0" w:line="240" w:lineRule="auto"/>
        <w:jc w:val="both"/>
        <w:rPr>
          <w:rFonts w:ascii="Century Gothic" w:hAnsi="Century Gothic"/>
          <w:bCs/>
        </w:rPr>
      </w:pPr>
      <w:r w:rsidRPr="00B205DA">
        <w:rPr>
          <w:rFonts w:ascii="Century Gothic" w:hAnsi="Century Gothic"/>
          <w:bCs/>
        </w:rPr>
        <w:t>Offrir de la rétroaction en é</w:t>
      </w:r>
      <w:r w:rsidR="00994DA4" w:rsidRPr="00B205DA">
        <w:rPr>
          <w:rFonts w:ascii="Century Gothic" w:hAnsi="Century Gothic"/>
          <w:bCs/>
        </w:rPr>
        <w:t>valuation</w:t>
      </w:r>
      <w:r w:rsidR="00BD1795" w:rsidRPr="00B205DA">
        <w:rPr>
          <w:rFonts w:ascii="Century Gothic" w:hAnsi="Century Gothic"/>
          <w:bCs/>
        </w:rPr>
        <w:t xml:space="preserve"> </w:t>
      </w:r>
      <w:r w:rsidR="00994DA4" w:rsidRPr="00B205DA">
        <w:rPr>
          <w:rFonts w:ascii="Century Gothic" w:hAnsi="Century Gothic"/>
          <w:bCs/>
        </w:rPr>
        <w:t>des</w:t>
      </w:r>
      <w:r w:rsidR="00BD1795" w:rsidRPr="00B205DA">
        <w:rPr>
          <w:rFonts w:ascii="Century Gothic" w:hAnsi="Century Gothic"/>
          <w:bCs/>
        </w:rPr>
        <w:t xml:space="preserve"> </w:t>
      </w:r>
      <w:r w:rsidR="00994DA4" w:rsidRPr="00B205DA">
        <w:rPr>
          <w:rFonts w:ascii="Century Gothic" w:hAnsi="Century Gothic"/>
          <w:bCs/>
        </w:rPr>
        <w:t>apprentissages</w:t>
      </w:r>
      <w:r w:rsidR="00BD1795" w:rsidRPr="00B205DA">
        <w:rPr>
          <w:rFonts w:ascii="Century Gothic" w:hAnsi="Century Gothic"/>
          <w:bCs/>
        </w:rPr>
        <w:t xml:space="preserve"> </w:t>
      </w:r>
      <w:r w:rsidR="00994DA4" w:rsidRPr="00B205DA">
        <w:rPr>
          <w:rFonts w:ascii="Century Gothic" w:hAnsi="Century Gothic"/>
          <w:bCs/>
        </w:rPr>
        <w:t>et de la compétence</w:t>
      </w:r>
      <w:r w:rsidR="00B205DA">
        <w:rPr>
          <w:rFonts w:ascii="Century Gothic" w:hAnsi="Century Gothic"/>
          <w:bCs/>
        </w:rPr>
        <w:t>.</w:t>
      </w:r>
    </w:p>
    <w:p w14:paraId="477331F5" w14:textId="76F4599F" w:rsidR="00E67D04" w:rsidRPr="00B205DA" w:rsidRDefault="00E67D04" w:rsidP="00B205DA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171F0DB1" w14:textId="77777777" w:rsidR="00B205DA" w:rsidRPr="00B205DA" w:rsidRDefault="00B205DA" w:rsidP="00B205DA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3151C6AD" w14:textId="6A62C562" w:rsidR="00484F74" w:rsidRPr="00B205DA" w:rsidRDefault="00994DA4" w:rsidP="00B205DA">
      <w:pPr>
        <w:pBdr>
          <w:bottom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B205DA">
        <w:rPr>
          <w:rFonts w:ascii="Century Gothic" w:hAnsi="Century Gothic"/>
          <w:b/>
          <w:sz w:val="28"/>
          <w:szCs w:val="28"/>
        </w:rPr>
        <w:t>Démarche</w:t>
      </w:r>
    </w:p>
    <w:p w14:paraId="7B6BF073" w14:textId="77777777" w:rsidR="00B205DA" w:rsidRDefault="00B205DA" w:rsidP="00B205DA">
      <w:pPr>
        <w:spacing w:after="0" w:line="240" w:lineRule="auto"/>
        <w:jc w:val="both"/>
        <w:rPr>
          <w:rFonts w:ascii="Century Gothic" w:hAnsi="Century Gothic"/>
        </w:rPr>
      </w:pPr>
    </w:p>
    <w:p w14:paraId="293FAE18" w14:textId="365D5D92" w:rsidR="00484F74" w:rsidRDefault="00E67D04" w:rsidP="00B205DA">
      <w:pPr>
        <w:spacing w:after="0" w:line="240" w:lineRule="auto"/>
        <w:jc w:val="both"/>
        <w:rPr>
          <w:rFonts w:ascii="Century Gothic" w:hAnsi="Century Gothic"/>
        </w:rPr>
      </w:pPr>
      <w:r w:rsidRPr="00B205DA">
        <w:rPr>
          <w:rFonts w:ascii="Century Gothic" w:hAnsi="Century Gothic"/>
        </w:rPr>
        <w:t xml:space="preserve">À partir du tableau </w:t>
      </w:r>
      <w:r w:rsidR="00484F74" w:rsidRPr="00B205DA">
        <w:rPr>
          <w:rFonts w:ascii="Century Gothic" w:hAnsi="Century Gothic"/>
        </w:rPr>
        <w:t>répertoriant les bonnes pratiques en lien a</w:t>
      </w:r>
      <w:r w:rsidRPr="00B205DA">
        <w:rPr>
          <w:rFonts w:ascii="Century Gothic" w:hAnsi="Century Gothic"/>
        </w:rPr>
        <w:t>vec la rétroaction,</w:t>
      </w:r>
      <w:r w:rsidR="00484F74" w:rsidRPr="00B205DA">
        <w:rPr>
          <w:rFonts w:ascii="Century Gothic" w:hAnsi="Century Gothic"/>
        </w:rPr>
        <w:t xml:space="preserve"> nous vous proposons de :</w:t>
      </w:r>
    </w:p>
    <w:p w14:paraId="36DB8441" w14:textId="77777777" w:rsidR="00B205DA" w:rsidRPr="00B205DA" w:rsidRDefault="00B205DA" w:rsidP="00B205DA">
      <w:pPr>
        <w:spacing w:after="0" w:line="240" w:lineRule="auto"/>
        <w:jc w:val="both"/>
        <w:rPr>
          <w:rFonts w:ascii="Century Gothic" w:hAnsi="Century Gothic"/>
        </w:rPr>
      </w:pPr>
    </w:p>
    <w:p w14:paraId="0B06A0FE" w14:textId="77777777" w:rsidR="00484F74" w:rsidRPr="00B205DA" w:rsidRDefault="00484F74" w:rsidP="00B205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proofErr w:type="gramStart"/>
      <w:r w:rsidRPr="00B205DA">
        <w:rPr>
          <w:rFonts w:ascii="Century Gothic" w:hAnsi="Century Gothic"/>
        </w:rPr>
        <w:t>situer</w:t>
      </w:r>
      <w:proofErr w:type="gramEnd"/>
      <w:r w:rsidRPr="00B205DA">
        <w:rPr>
          <w:rFonts w:ascii="Century Gothic" w:hAnsi="Century Gothic"/>
        </w:rPr>
        <w:t xml:space="preserve"> votre pratique au regard de chaque énoncé,</w:t>
      </w:r>
    </w:p>
    <w:p w14:paraId="185AF4B0" w14:textId="77777777" w:rsidR="00484F74" w:rsidRPr="00B205DA" w:rsidRDefault="00484F74" w:rsidP="00B205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B205DA">
        <w:rPr>
          <w:rFonts w:ascii="Century Gothic" w:hAnsi="Century Gothic"/>
        </w:rPr>
        <w:t>noter vos observations, réflexions ou pistes d’amélioration personnelles,</w:t>
      </w:r>
    </w:p>
    <w:p w14:paraId="4830C265" w14:textId="7D173C80" w:rsidR="00484F74" w:rsidRPr="00B205DA" w:rsidRDefault="00484F74" w:rsidP="00B205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proofErr w:type="gramStart"/>
      <w:r w:rsidRPr="00B205DA">
        <w:rPr>
          <w:rFonts w:ascii="Century Gothic" w:hAnsi="Century Gothic"/>
        </w:rPr>
        <w:t>identifier</w:t>
      </w:r>
      <w:proofErr w:type="gramEnd"/>
      <w:r w:rsidRPr="00B205DA">
        <w:rPr>
          <w:rFonts w:ascii="Century Gothic" w:hAnsi="Century Gothic"/>
        </w:rPr>
        <w:t xml:space="preserve"> des éléments auxquels il serait pertinent de porter une attention particulière ou pour lesquels vous souhaiteriez obtenir un accompagnement de votre conseillère </w:t>
      </w:r>
      <w:r w:rsidR="00B205DA">
        <w:rPr>
          <w:rFonts w:ascii="Century Gothic" w:hAnsi="Century Gothic"/>
        </w:rPr>
        <w:t xml:space="preserve">ou votre conseiller </w:t>
      </w:r>
      <w:r w:rsidRPr="00B205DA">
        <w:rPr>
          <w:rFonts w:ascii="Century Gothic" w:hAnsi="Century Gothic"/>
        </w:rPr>
        <w:t>pédagogique.</w:t>
      </w:r>
    </w:p>
    <w:p w14:paraId="191CF737" w14:textId="1D5D0C8E" w:rsidR="00484F74" w:rsidRDefault="00484F74" w:rsidP="00B205DA">
      <w:pPr>
        <w:pStyle w:val="Paragraphedeliste"/>
        <w:spacing w:after="0" w:line="240" w:lineRule="auto"/>
        <w:ind w:left="1065"/>
        <w:jc w:val="both"/>
        <w:rPr>
          <w:rFonts w:ascii="Century Gothic" w:hAnsi="Century Gothic"/>
        </w:rPr>
      </w:pPr>
    </w:p>
    <w:p w14:paraId="15B7617B" w14:textId="77777777" w:rsidR="00B205DA" w:rsidRPr="00B205DA" w:rsidRDefault="00B205DA" w:rsidP="00B205DA">
      <w:pPr>
        <w:pStyle w:val="Paragraphedeliste"/>
        <w:spacing w:after="0" w:line="240" w:lineRule="auto"/>
        <w:ind w:left="1065"/>
        <w:jc w:val="both"/>
        <w:rPr>
          <w:rFonts w:ascii="Century Gothic" w:hAnsi="Century Gothic"/>
        </w:rPr>
      </w:pPr>
    </w:p>
    <w:p w14:paraId="4612BDD0" w14:textId="77777777" w:rsidR="00484F74" w:rsidRPr="00B205DA" w:rsidRDefault="00484F74" w:rsidP="00B205DA">
      <w:pPr>
        <w:pBdr>
          <w:bottom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B205DA">
        <w:rPr>
          <w:rFonts w:ascii="Century Gothic" w:hAnsi="Century Gothic"/>
          <w:b/>
          <w:sz w:val="28"/>
          <w:szCs w:val="28"/>
        </w:rPr>
        <w:t>Références et lectures complémentaires :</w:t>
      </w:r>
    </w:p>
    <w:p w14:paraId="633A373D" w14:textId="77777777" w:rsidR="00B205DA" w:rsidRDefault="00B205DA" w:rsidP="00B205D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000000"/>
          <w:lang w:bidi="he-IL"/>
        </w:rPr>
      </w:pPr>
    </w:p>
    <w:p w14:paraId="7727C490" w14:textId="77777777" w:rsidR="00B205DA" w:rsidRDefault="00B205DA" w:rsidP="00B205D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entury" w:hAnsi="Century" w:cstheme="minorHAnsi"/>
          <w:color w:val="222222"/>
          <w:shd w:val="clear" w:color="auto" w:fill="FFFFFF"/>
        </w:rPr>
      </w:pPr>
      <w:r>
        <w:rPr>
          <w:rFonts w:ascii="Century Gothic" w:hAnsi="Century Gothic" w:cstheme="minorHAnsi"/>
          <w:color w:val="000000"/>
          <w:lang w:bidi="he-IL"/>
        </w:rPr>
        <w:t xml:space="preserve">BOUCHER, C. (2016). </w:t>
      </w:r>
      <w:r>
        <w:rPr>
          <w:rFonts w:ascii="Century Gothic" w:hAnsi="Century Gothic" w:cstheme="minorHAnsi"/>
          <w:i/>
          <w:iCs/>
          <w:color w:val="000000"/>
          <w:lang w:bidi="he-IL"/>
        </w:rPr>
        <w:t>L’évaluation et la rétroaction par les pairs en enseignement supérieur.</w:t>
      </w:r>
      <w:r>
        <w:rPr>
          <w:rFonts w:ascii="Century Gothic" w:hAnsi="Century Gothic" w:cstheme="minorHAnsi"/>
          <w:color w:val="000000"/>
          <w:lang w:bidi="he-IL"/>
        </w:rPr>
        <w:t xml:space="preserve"> Portail du soutien à la pédagogie universitaire du réseau de l’Université du </w:t>
      </w:r>
      <w:r>
        <w:rPr>
          <w:rFonts w:ascii="Century Gothic" w:hAnsi="Century Gothic" w:cs="Calibri"/>
          <w:color w:val="000000"/>
          <w:lang w:bidi="he-IL"/>
        </w:rPr>
        <w:t xml:space="preserve">Québec. </w:t>
      </w:r>
      <w:r>
        <w:rPr>
          <w:rFonts w:ascii="Century Gothic" w:hAnsi="Century Gothic" w:cstheme="minorHAnsi"/>
          <w:color w:val="000000"/>
          <w:lang w:bidi="he-IL"/>
        </w:rPr>
        <w:t xml:space="preserve">(Bulletin de veille no. 6, février 2016). </w:t>
      </w:r>
      <w:r>
        <w:rPr>
          <w:rFonts w:ascii="Century" w:hAnsi="Century" w:cstheme="minorHAnsi"/>
          <w:color w:val="222222"/>
          <w:shd w:val="clear" w:color="auto" w:fill="FFFFFF"/>
        </w:rPr>
        <w:t>[</w:t>
      </w:r>
      <w:r>
        <w:rPr>
          <w:rFonts w:ascii="Century Gothic" w:hAnsi="Century Gothic" w:cstheme="minorHAnsi"/>
          <w:color w:val="222222"/>
          <w:shd w:val="clear" w:color="auto" w:fill="FFFFFF"/>
        </w:rPr>
        <w:t>En ligne</w:t>
      </w:r>
      <w:r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4BACBC27" w14:textId="5EC9D9A2" w:rsidR="00B205DA" w:rsidRDefault="00B205DA" w:rsidP="00B205DA">
      <w:pPr>
        <w:autoSpaceDE w:val="0"/>
        <w:autoSpaceDN w:val="0"/>
        <w:adjustRightInd w:val="0"/>
        <w:spacing w:after="0" w:line="240" w:lineRule="auto"/>
        <w:ind w:left="567"/>
        <w:rPr>
          <w:rFonts w:ascii="Century" w:hAnsi="Century" w:cstheme="minorHAnsi"/>
          <w:color w:val="222222"/>
          <w:shd w:val="clear" w:color="auto" w:fill="FFFFFF"/>
        </w:rPr>
      </w:pPr>
      <w:r>
        <w:rPr>
          <w:rFonts w:ascii="Century" w:hAnsi="Century" w:cstheme="minorHAnsi"/>
          <w:color w:val="222222"/>
          <w:shd w:val="clear" w:color="auto" w:fill="FFFFFF"/>
        </w:rPr>
        <w:t>[</w:t>
      </w:r>
      <w:hyperlink r:id="rId11" w:history="1">
        <w:r>
          <w:rPr>
            <w:rStyle w:val="Lienhypertexte"/>
            <w:rFonts w:ascii="Century Gothic" w:hAnsi="Century Gothic" w:cs="Calibri"/>
            <w:color w:val="C00000"/>
            <w:lang w:bidi="he-IL"/>
          </w:rPr>
          <w:t>http://pedagogie.uquebec.ca/portail/veille/bulletin-de-veille-no6-fevrier-2016-levaluation-et-laretroaction-par-les-pairs-en</w:t>
        </w:r>
      </w:hyperlink>
      <w:r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2DA0BA1A" w14:textId="77777777" w:rsidR="0078296D" w:rsidRDefault="0078296D" w:rsidP="0078296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entury Gothic" w:hAnsi="Century Gothic" w:cs="Calibri"/>
          <w:color w:val="000000"/>
          <w:lang w:bidi="he-IL"/>
        </w:rPr>
      </w:pPr>
    </w:p>
    <w:p w14:paraId="2AB0A662" w14:textId="5092DFCE" w:rsidR="0078296D" w:rsidRDefault="0078296D" w:rsidP="0078296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entury" w:hAnsi="Century" w:cstheme="minorHAnsi"/>
          <w:color w:val="222222"/>
          <w:shd w:val="clear" w:color="auto" w:fill="FFFFFF"/>
        </w:rPr>
      </w:pPr>
      <w:r>
        <w:rPr>
          <w:rFonts w:ascii="Century Gothic" w:hAnsi="Century Gothic" w:cs="Calibri"/>
          <w:color w:val="000000"/>
          <w:lang w:bidi="he-IL"/>
        </w:rPr>
        <w:t xml:space="preserve">CÉGEP DE RIMOUSKI. (2013). </w:t>
      </w:r>
      <w:r>
        <w:rPr>
          <w:rFonts w:ascii="Century Gothic" w:hAnsi="Century Gothic" w:cs="Calibri"/>
          <w:i/>
          <w:iCs/>
          <w:color w:val="000000"/>
          <w:lang w:bidi="he-IL"/>
        </w:rPr>
        <w:t>L’art de corriger efficacement</w:t>
      </w:r>
      <w:r>
        <w:rPr>
          <w:rFonts w:ascii="Century Gothic" w:hAnsi="Century Gothic" w:cs="Calibri"/>
          <w:color w:val="000000"/>
          <w:lang w:bidi="he-IL"/>
        </w:rPr>
        <w:t>. (</w:t>
      </w:r>
      <w:proofErr w:type="spellStart"/>
      <w:r>
        <w:rPr>
          <w:rFonts w:ascii="Century Gothic" w:hAnsi="Century Gothic" w:cs="Calibri-Italic"/>
          <w:color w:val="000000"/>
          <w:lang w:bidi="he-IL"/>
        </w:rPr>
        <w:t>Pédagotruc</w:t>
      </w:r>
      <w:r>
        <w:rPr>
          <w:rFonts w:ascii="Century Gothic" w:hAnsi="Century Gothic" w:cs="Calibri-Italic"/>
          <w:i/>
          <w:iCs/>
          <w:color w:val="000000"/>
          <w:lang w:bidi="he-IL"/>
        </w:rPr>
        <w:t>s</w:t>
      </w:r>
      <w:proofErr w:type="spellEnd"/>
      <w:r>
        <w:rPr>
          <w:rFonts w:ascii="Century Gothic" w:hAnsi="Century Gothic" w:cs="Calibri"/>
          <w:color w:val="000000"/>
          <w:lang w:bidi="he-IL"/>
        </w:rPr>
        <w:t xml:space="preserve">, no 41, printemps 2013). Service de développement pédagogique. </w:t>
      </w:r>
      <w:r>
        <w:rPr>
          <w:rFonts w:ascii="Century" w:hAnsi="Century" w:cstheme="minorHAnsi"/>
          <w:color w:val="222222"/>
          <w:shd w:val="clear" w:color="auto" w:fill="FFFFFF"/>
        </w:rPr>
        <w:t>[</w:t>
      </w:r>
      <w:r>
        <w:rPr>
          <w:rFonts w:ascii="Century Gothic" w:hAnsi="Century Gothic" w:cstheme="minorHAnsi"/>
          <w:color w:val="222222"/>
          <w:shd w:val="clear" w:color="auto" w:fill="FFFFFF"/>
        </w:rPr>
        <w:t>En ligne</w:t>
      </w:r>
      <w:r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55EBC289" w14:textId="77777777" w:rsidR="0078296D" w:rsidRDefault="0078296D" w:rsidP="0078296D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alibri"/>
          <w:color w:val="E78300"/>
          <w:lang w:bidi="he-IL"/>
        </w:rPr>
      </w:pPr>
      <w:r>
        <w:rPr>
          <w:rFonts w:ascii="Century" w:hAnsi="Century" w:cstheme="minorHAnsi"/>
          <w:color w:val="222222"/>
          <w:shd w:val="clear" w:color="auto" w:fill="FFFFFF"/>
        </w:rPr>
        <w:t>[</w:t>
      </w:r>
      <w:hyperlink r:id="rId12" w:history="1">
        <w:r>
          <w:rPr>
            <w:rStyle w:val="Lienhypertexte"/>
            <w:rFonts w:ascii="Century Gothic" w:hAnsi="Century Gothic" w:cs="Calibri"/>
            <w:color w:val="C00000"/>
            <w:lang w:bidi="he-IL"/>
          </w:rPr>
          <w:t>https://www.cegeprimouski.qc.ca/pedagotrucs</w:t>
        </w:r>
      </w:hyperlink>
      <w:r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00AF1697" w14:textId="77777777" w:rsidR="0078296D" w:rsidRDefault="0078296D" w:rsidP="00B205DA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alibri"/>
          <w:color w:val="E78300"/>
          <w:lang w:bidi="he-IL"/>
        </w:rPr>
      </w:pPr>
    </w:p>
    <w:p w14:paraId="64E5CBD7" w14:textId="77777777" w:rsidR="0078296D" w:rsidRDefault="0078296D" w:rsidP="0078296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CHOUINARD, R. et DURAND, M.-J. (2012).</w:t>
      </w:r>
      <w:r>
        <w:rPr>
          <w:rFonts w:ascii="Century Gothic" w:hAnsi="Century Gothic" w:cstheme="minorHAnsi"/>
          <w:i/>
          <w:iCs/>
        </w:rPr>
        <w:t xml:space="preserve"> L'évaluation des apprentissages. De la planification de la démarche à la communication des résultats.</w:t>
      </w:r>
      <w:r>
        <w:rPr>
          <w:rFonts w:ascii="Century Gothic" w:hAnsi="Century Gothic" w:cstheme="minorHAnsi"/>
        </w:rPr>
        <w:t xml:space="preserve"> Montréal : Éditions Marcel Didier.</w:t>
      </w:r>
    </w:p>
    <w:p w14:paraId="41FBBFBC" w14:textId="77777777" w:rsidR="00484F74" w:rsidRPr="00B205DA" w:rsidRDefault="00484F74" w:rsidP="00B205D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000000"/>
          <w:lang w:bidi="he-IL"/>
        </w:rPr>
      </w:pPr>
    </w:p>
    <w:p w14:paraId="020A4484" w14:textId="77777777" w:rsidR="00B205DA" w:rsidRDefault="00B205DA" w:rsidP="00B205DA">
      <w:pPr>
        <w:spacing w:after="0" w:line="240" w:lineRule="auto"/>
        <w:ind w:left="567" w:hanging="567"/>
        <w:rPr>
          <w:rFonts w:ascii="Century" w:hAnsi="Century" w:cstheme="minorHAnsi"/>
          <w:color w:val="222222"/>
          <w:shd w:val="clear" w:color="auto" w:fill="FFFFFF"/>
        </w:rPr>
      </w:pPr>
      <w:r>
        <w:rPr>
          <w:rFonts w:ascii="Century Gothic" w:hAnsi="Century Gothic" w:cstheme="minorHAnsi"/>
        </w:rPr>
        <w:t xml:space="preserve">CÔTÉ, R., MUNN, J. et TARDIF, J. </w:t>
      </w:r>
      <w:r>
        <w:rPr>
          <w:rFonts w:ascii="Century Gothic" w:hAnsi="Century Gothic" w:cstheme="minorHAnsi"/>
          <w:i/>
          <w:iCs/>
        </w:rPr>
        <w:t>Élaboration d’une grille d’évaluation.</w:t>
      </w:r>
      <w:r>
        <w:rPr>
          <w:rFonts w:ascii="Century Gothic" w:hAnsi="Century Gothic" w:cstheme="minorHAnsi"/>
        </w:rPr>
        <w:t xml:space="preserve"> Université du Québec.</w:t>
      </w:r>
      <w:r>
        <w:rPr>
          <w:rFonts w:ascii="Century" w:hAnsi="Century" w:cstheme="minorHAnsi"/>
          <w:color w:val="222222"/>
          <w:shd w:val="clear" w:color="auto" w:fill="FFFFFF"/>
        </w:rPr>
        <w:t xml:space="preserve"> [</w:t>
      </w:r>
      <w:r>
        <w:rPr>
          <w:rFonts w:ascii="Century Gothic" w:hAnsi="Century Gothic" w:cstheme="minorHAnsi"/>
          <w:color w:val="222222"/>
          <w:shd w:val="clear" w:color="auto" w:fill="FFFFFF"/>
        </w:rPr>
        <w:t>En ligne</w:t>
      </w:r>
      <w:r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5EF33007" w14:textId="77777777" w:rsidR="00B205DA" w:rsidRDefault="00B205DA" w:rsidP="00B205DA">
      <w:pPr>
        <w:spacing w:after="0" w:line="240" w:lineRule="auto"/>
        <w:ind w:left="567"/>
        <w:rPr>
          <w:rFonts w:ascii="Century Gothic" w:hAnsi="Century Gothic" w:cstheme="minorHAnsi"/>
          <w:color w:val="0000FF"/>
          <w:u w:val="single"/>
        </w:rPr>
      </w:pPr>
      <w:r>
        <w:rPr>
          <w:rFonts w:ascii="Century" w:hAnsi="Century" w:cstheme="minorHAnsi"/>
          <w:color w:val="222222"/>
          <w:shd w:val="clear" w:color="auto" w:fill="FFFFFF"/>
        </w:rPr>
        <w:t>[</w:t>
      </w:r>
      <w:hyperlink r:id="rId13" w:history="1">
        <w:r>
          <w:rPr>
            <w:rStyle w:val="Lienhypertexte"/>
            <w:rFonts w:ascii="Century Gothic" w:hAnsi="Century Gothic" w:cstheme="minorHAnsi"/>
            <w:color w:val="C00000"/>
          </w:rPr>
          <w:t>http://pedagogie.uquebec.ca/portail/sites/ptc.uquebec.ca.pedagogie/files/R%C3%A9pertoire%20de%20ressources/grilles_eval_cahier_participant.pdf</w:t>
        </w:r>
      </w:hyperlink>
      <w:r>
        <w:rPr>
          <w:rFonts w:ascii="Century" w:hAnsi="Century" w:cstheme="minorHAnsi"/>
          <w:color w:val="222222"/>
          <w:shd w:val="clear" w:color="auto" w:fill="FFFFFF"/>
        </w:rPr>
        <w:t>]</w:t>
      </w:r>
    </w:p>
    <w:p w14:paraId="133DCD8D" w14:textId="77777777" w:rsidR="00484F74" w:rsidRPr="00B205DA" w:rsidRDefault="00484F74" w:rsidP="00B205D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000000"/>
        </w:rPr>
      </w:pPr>
    </w:p>
    <w:p w14:paraId="094D2DA8" w14:textId="77777777" w:rsidR="00B205DA" w:rsidRDefault="00B205DA" w:rsidP="00B205D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color w:val="000000"/>
        </w:rPr>
        <w:t xml:space="preserve">DURAND, M.-J. et LOYE, N. (2014). </w:t>
      </w:r>
      <w:r>
        <w:rPr>
          <w:rFonts w:ascii="Century Gothic" w:hAnsi="Century Gothic" w:cstheme="minorHAnsi"/>
          <w:i/>
          <w:iCs/>
          <w:color w:val="000000"/>
          <w:lang w:bidi="he-IL"/>
        </w:rPr>
        <w:t>L’instrumentation pour l’évaluation. La boîte à outils de l’enseignant évaluateur</w:t>
      </w:r>
      <w:r>
        <w:rPr>
          <w:rFonts w:ascii="Century Gothic" w:hAnsi="Century Gothic" w:cstheme="minorHAnsi"/>
          <w:color w:val="000000"/>
        </w:rPr>
        <w:t>. Montréal : Éditions Marcel Didier.</w:t>
      </w:r>
    </w:p>
    <w:p w14:paraId="2D917DA1" w14:textId="77777777" w:rsidR="00484F74" w:rsidRPr="00B205DA" w:rsidRDefault="00484F74" w:rsidP="00B205D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000000"/>
        </w:rPr>
      </w:pPr>
    </w:p>
    <w:p w14:paraId="43DF4F05" w14:textId="77777777" w:rsidR="00484F74" w:rsidRPr="00B205DA" w:rsidRDefault="00484F74" w:rsidP="00B205D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E78300"/>
          <w:lang w:bidi="he-IL"/>
        </w:rPr>
      </w:pPr>
    </w:p>
    <w:p w14:paraId="29563AD8" w14:textId="1E26C938" w:rsidR="009D5F2F" w:rsidRPr="00B205DA" w:rsidRDefault="00E67D04" w:rsidP="00B205DA">
      <w:pPr>
        <w:spacing w:after="0" w:line="240" w:lineRule="auto"/>
        <w:rPr>
          <w:rFonts w:ascii="Century Gothic" w:hAnsi="Century Gothic" w:cs="Calibri"/>
          <w:b/>
          <w:bCs/>
          <w:color w:val="000000"/>
          <w:sz w:val="28"/>
          <w:szCs w:val="28"/>
        </w:rPr>
      </w:pPr>
      <w:r w:rsidRPr="00B205DA">
        <w:rPr>
          <w:rFonts w:ascii="Century Gothic" w:hAnsi="Century Gothic" w:cs="Calibri"/>
          <w:b/>
          <w:bCs/>
          <w:color w:val="000000"/>
          <w:sz w:val="28"/>
          <w:szCs w:val="28"/>
        </w:rPr>
        <w:br w:type="page"/>
      </w:r>
    </w:p>
    <w:tbl>
      <w:tblPr>
        <w:tblStyle w:val="Grilledutableau"/>
        <w:tblW w:w="5007" w:type="pct"/>
        <w:tblLook w:val="04A0" w:firstRow="1" w:lastRow="0" w:firstColumn="1" w:lastColumn="0" w:noHBand="0" w:noVBand="1"/>
      </w:tblPr>
      <w:tblGrid>
        <w:gridCol w:w="921"/>
        <w:gridCol w:w="6869"/>
        <w:gridCol w:w="802"/>
        <w:gridCol w:w="802"/>
        <w:gridCol w:w="13"/>
      </w:tblGrid>
      <w:tr w:rsidR="00E67D04" w:rsidRPr="00B205DA" w14:paraId="4437FB4A" w14:textId="77777777" w:rsidTr="00903194">
        <w:trPr>
          <w:gridAfter w:val="1"/>
          <w:wAfter w:w="13" w:type="dxa"/>
          <w:cantSplit/>
          <w:trHeight w:val="720"/>
          <w:tblHeader/>
        </w:trPr>
        <w:tc>
          <w:tcPr>
            <w:tcW w:w="7790" w:type="dxa"/>
            <w:gridSpan w:val="2"/>
            <w:shd w:val="clear" w:color="auto" w:fill="D9D9D9" w:themeFill="background1" w:themeFillShade="D9"/>
            <w:vAlign w:val="center"/>
          </w:tcPr>
          <w:p w14:paraId="2929CFEE" w14:textId="20D4C8C4" w:rsidR="00E67D04" w:rsidRPr="00B205DA" w:rsidRDefault="00E67D04" w:rsidP="004304FE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205DA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Bonnes pratiques</w:t>
            </w:r>
            <w:r w:rsidR="004304F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de rétroaction</w:t>
            </w:r>
          </w:p>
        </w:tc>
        <w:tc>
          <w:tcPr>
            <w:tcW w:w="802" w:type="dxa"/>
            <w:shd w:val="clear" w:color="auto" w:fill="D9D9D9" w:themeFill="background1" w:themeFillShade="D9"/>
            <w:textDirection w:val="btLr"/>
            <w:vAlign w:val="center"/>
          </w:tcPr>
          <w:p w14:paraId="441AA2C5" w14:textId="51021DCB" w:rsidR="00E67D04" w:rsidRPr="00B205DA" w:rsidRDefault="00E67D04" w:rsidP="004304FE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205DA">
              <w:rPr>
                <w:rFonts w:ascii="Century Gothic" w:hAnsi="Century Gothic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02" w:type="dxa"/>
            <w:shd w:val="clear" w:color="auto" w:fill="D9D9D9" w:themeFill="background1" w:themeFillShade="D9"/>
            <w:textDirection w:val="btLr"/>
            <w:vAlign w:val="center"/>
          </w:tcPr>
          <w:p w14:paraId="4CE33A14" w14:textId="593DD447" w:rsidR="00E67D04" w:rsidRPr="00B205DA" w:rsidRDefault="00E67D04" w:rsidP="004304FE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205DA">
              <w:rPr>
                <w:rFonts w:ascii="Century Gothic" w:hAnsi="Century Gothic"/>
                <w:b/>
                <w:bCs/>
                <w:sz w:val="20"/>
                <w:szCs w:val="20"/>
              </w:rPr>
              <w:t>NON</w:t>
            </w:r>
          </w:p>
        </w:tc>
      </w:tr>
      <w:tr w:rsidR="00903194" w:rsidRPr="00B205DA" w14:paraId="26570D80" w14:textId="77777777" w:rsidTr="00903194">
        <w:trPr>
          <w:gridAfter w:val="1"/>
          <w:wAfter w:w="13" w:type="dxa"/>
          <w:cantSplit/>
          <w:trHeight w:val="737"/>
        </w:trPr>
        <w:tc>
          <w:tcPr>
            <w:tcW w:w="921" w:type="dxa"/>
            <w:vMerge w:val="restart"/>
            <w:textDirection w:val="btLr"/>
          </w:tcPr>
          <w:p w14:paraId="79613EF7" w14:textId="6102551C" w:rsidR="00903194" w:rsidRPr="00B205DA" w:rsidRDefault="00903194" w:rsidP="0090319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 w:rsidRPr="00B205DA">
              <w:rPr>
                <w:rFonts w:ascii="Century Gothic" w:hAnsi="Century Gothic"/>
                <w:b/>
                <w:bCs/>
                <w:sz w:val="20"/>
                <w:szCs w:val="20"/>
              </w:rPr>
              <w:t>APRÈS  une</w:t>
            </w:r>
            <w:proofErr w:type="gramEnd"/>
            <w:r w:rsidRPr="00B205D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évaluation</w:t>
            </w:r>
          </w:p>
        </w:tc>
        <w:tc>
          <w:tcPr>
            <w:tcW w:w="6869" w:type="dxa"/>
            <w:vAlign w:val="center"/>
          </w:tcPr>
          <w:p w14:paraId="22B97D7F" w14:textId="261143F1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>J’utilise la grille de correction (critères et manifestations) pour consigner et analyser les données.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95105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41103D0A" w14:textId="3D74BDF7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63005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2702828C" w14:textId="42A87A5B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03194" w:rsidRPr="00B205DA" w14:paraId="6F26321A" w14:textId="77777777" w:rsidTr="00903194">
        <w:trPr>
          <w:gridAfter w:val="1"/>
          <w:wAfter w:w="13" w:type="dxa"/>
          <w:cantSplit/>
          <w:trHeight w:val="737"/>
        </w:trPr>
        <w:tc>
          <w:tcPr>
            <w:tcW w:w="921" w:type="dxa"/>
            <w:vMerge/>
          </w:tcPr>
          <w:p w14:paraId="3823E609" w14:textId="7777777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69" w:type="dxa"/>
            <w:vAlign w:val="center"/>
          </w:tcPr>
          <w:p w14:paraId="543CAFB9" w14:textId="5D9A3AC3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>Je porte un jugement le plus objectif possible sur la performance de l’</w:t>
            </w:r>
            <w:proofErr w:type="spellStart"/>
            <w:r w:rsidRPr="00B205DA">
              <w:rPr>
                <w:rFonts w:ascii="Century Gothic" w:hAnsi="Century Gothic"/>
                <w:sz w:val="20"/>
                <w:szCs w:val="20"/>
              </w:rPr>
              <w:t>étudiant.e</w:t>
            </w:r>
            <w:proofErr w:type="spellEnd"/>
            <w:r w:rsidRPr="00B205D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46241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372E3ED9" w14:textId="7558DB66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64103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042DE13A" w14:textId="7F427366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03194" w:rsidRPr="00B205DA" w14:paraId="40DDC27A" w14:textId="77777777" w:rsidTr="00903194">
        <w:trPr>
          <w:gridAfter w:val="1"/>
          <w:wAfter w:w="13" w:type="dxa"/>
          <w:cantSplit/>
          <w:trHeight w:val="737"/>
        </w:trPr>
        <w:tc>
          <w:tcPr>
            <w:tcW w:w="921" w:type="dxa"/>
            <w:vMerge/>
          </w:tcPr>
          <w:p w14:paraId="32E0184C" w14:textId="7777777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69" w:type="dxa"/>
            <w:vAlign w:val="center"/>
          </w:tcPr>
          <w:p w14:paraId="5A10F0E0" w14:textId="48CA5CF8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 xml:space="preserve">Je remets à l’intérieur de 10 jours ouvrables l’examen à </w:t>
            </w:r>
            <w:proofErr w:type="gramStart"/>
            <w:r w:rsidRPr="00B205DA">
              <w:rPr>
                <w:rFonts w:ascii="Century Gothic" w:hAnsi="Century Gothic"/>
                <w:sz w:val="20"/>
                <w:szCs w:val="20"/>
              </w:rPr>
              <w:t>l’</w:t>
            </w:r>
            <w:proofErr w:type="spellStart"/>
            <w:r w:rsidRPr="00B205DA">
              <w:rPr>
                <w:rFonts w:ascii="Century Gothic" w:hAnsi="Century Gothic"/>
                <w:sz w:val="20"/>
                <w:szCs w:val="20"/>
              </w:rPr>
              <w:t>étudiant.e</w:t>
            </w:r>
            <w:proofErr w:type="spellEnd"/>
            <w:proofErr w:type="gramEnd"/>
            <w:r w:rsidRPr="00B205DA">
              <w:rPr>
                <w:rFonts w:ascii="Century Gothic" w:hAnsi="Century Gothic"/>
                <w:sz w:val="20"/>
                <w:szCs w:val="20"/>
              </w:rPr>
              <w:t xml:space="preserve"> afin qu’il prenne connaissance des apprentissages manquants.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72201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56F5B656" w14:textId="3073986B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15205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2B60EFD7" w14:textId="37C6E875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03194" w:rsidRPr="00B205DA" w14:paraId="0BF4B09E" w14:textId="77777777" w:rsidTr="00903194">
        <w:trPr>
          <w:gridAfter w:val="1"/>
          <w:wAfter w:w="13" w:type="dxa"/>
          <w:cantSplit/>
          <w:trHeight w:val="737"/>
        </w:trPr>
        <w:tc>
          <w:tcPr>
            <w:tcW w:w="921" w:type="dxa"/>
            <w:vMerge/>
          </w:tcPr>
          <w:p w14:paraId="36432DC0" w14:textId="7777777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69" w:type="dxa"/>
            <w:vAlign w:val="center"/>
          </w:tcPr>
          <w:p w14:paraId="4A3EED80" w14:textId="0AFAC315" w:rsidR="00903194" w:rsidRPr="004304FE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 xml:space="preserve">J’inscris les notes d’évaluation dans LÉA afin que </w:t>
            </w:r>
            <w:proofErr w:type="gramStart"/>
            <w:r w:rsidRPr="00B205DA">
              <w:rPr>
                <w:rFonts w:ascii="Century Gothic" w:hAnsi="Century Gothic"/>
                <w:sz w:val="20"/>
                <w:szCs w:val="20"/>
              </w:rPr>
              <w:t xml:space="preserve">l’ </w:t>
            </w:r>
            <w:proofErr w:type="spellStart"/>
            <w:r w:rsidRPr="00B205DA">
              <w:rPr>
                <w:rFonts w:ascii="Century Gothic" w:hAnsi="Century Gothic"/>
                <w:sz w:val="20"/>
                <w:szCs w:val="20"/>
              </w:rPr>
              <w:t>étudiant</w:t>
            </w:r>
            <w:proofErr w:type="gramEnd"/>
            <w:r w:rsidRPr="00B205DA">
              <w:rPr>
                <w:rFonts w:ascii="Century Gothic" w:hAnsi="Century Gothic"/>
                <w:sz w:val="20"/>
                <w:szCs w:val="20"/>
              </w:rPr>
              <w:t>.e</w:t>
            </w:r>
            <w:proofErr w:type="spellEnd"/>
            <w:r w:rsidRPr="00B205DA">
              <w:rPr>
                <w:rFonts w:ascii="Century Gothic" w:hAnsi="Century Gothic"/>
                <w:sz w:val="20"/>
                <w:szCs w:val="20"/>
              </w:rPr>
              <w:t xml:space="preserve"> puisse les consulter.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91223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6B2A1DAA" w14:textId="4BBF0659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8837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49C0FE9D" w14:textId="7E5E0055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03194" w:rsidRPr="00B205DA" w14:paraId="7D4FD198" w14:textId="77777777" w:rsidTr="00903194">
        <w:trPr>
          <w:gridAfter w:val="1"/>
          <w:wAfter w:w="13" w:type="dxa"/>
          <w:cantSplit/>
          <w:trHeight w:val="737"/>
        </w:trPr>
        <w:tc>
          <w:tcPr>
            <w:tcW w:w="921" w:type="dxa"/>
            <w:vMerge/>
          </w:tcPr>
          <w:p w14:paraId="01ED849D" w14:textId="7777777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69" w:type="dxa"/>
            <w:vAlign w:val="center"/>
          </w:tcPr>
          <w:p w14:paraId="1005278C" w14:textId="375D4FC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>Je reviens sur les parties de l’examen qui ont été moins réussies et je reprends les savoirs s’y rattachant.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29368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30CAD54B" w14:textId="0CB1B8AC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83966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706567E6" w14:textId="305EE343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03194" w:rsidRPr="00B205DA" w14:paraId="4DACBC2D" w14:textId="77777777" w:rsidTr="00903194">
        <w:trPr>
          <w:gridAfter w:val="1"/>
          <w:wAfter w:w="13" w:type="dxa"/>
          <w:cantSplit/>
          <w:trHeight w:val="737"/>
        </w:trPr>
        <w:tc>
          <w:tcPr>
            <w:tcW w:w="921" w:type="dxa"/>
            <w:vMerge/>
          </w:tcPr>
          <w:p w14:paraId="47BCFDFA" w14:textId="7777777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69" w:type="dxa"/>
            <w:vAlign w:val="center"/>
          </w:tcPr>
          <w:p w14:paraId="386830E5" w14:textId="1AFD859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 xml:space="preserve">Je rencontre individuellement </w:t>
            </w:r>
            <w:proofErr w:type="gramStart"/>
            <w:r w:rsidRPr="00B205DA">
              <w:rPr>
                <w:rFonts w:ascii="Century Gothic" w:hAnsi="Century Gothic"/>
                <w:sz w:val="20"/>
                <w:szCs w:val="20"/>
              </w:rPr>
              <w:t>l’</w:t>
            </w:r>
            <w:proofErr w:type="spellStart"/>
            <w:r w:rsidRPr="00B205DA">
              <w:rPr>
                <w:rFonts w:ascii="Century Gothic" w:hAnsi="Century Gothic"/>
                <w:sz w:val="20"/>
                <w:szCs w:val="20"/>
              </w:rPr>
              <w:t>étudiant.e</w:t>
            </w:r>
            <w:proofErr w:type="spellEnd"/>
            <w:proofErr w:type="gramEnd"/>
            <w:r w:rsidRPr="00B205DA">
              <w:rPr>
                <w:rFonts w:ascii="Century Gothic" w:hAnsi="Century Gothic"/>
                <w:sz w:val="20"/>
                <w:szCs w:val="20"/>
              </w:rPr>
              <w:t xml:space="preserve"> qui a échoué à l’examen afin de l’aider à identifier les causes et apporter les correctifs nécessaires.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203827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10288933" w14:textId="6BF70C1A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369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7E24325B" w14:textId="0A759BDC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03194" w:rsidRPr="00B205DA" w14:paraId="13FAA7E7" w14:textId="77777777" w:rsidTr="00903194">
        <w:trPr>
          <w:gridAfter w:val="1"/>
          <w:wAfter w:w="13" w:type="dxa"/>
          <w:cantSplit/>
          <w:trHeight w:val="737"/>
        </w:trPr>
        <w:tc>
          <w:tcPr>
            <w:tcW w:w="921" w:type="dxa"/>
            <w:vMerge/>
          </w:tcPr>
          <w:p w14:paraId="30B8AEC2" w14:textId="7777777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69" w:type="dxa"/>
            <w:vAlign w:val="center"/>
          </w:tcPr>
          <w:p w14:paraId="3815258A" w14:textId="5339D183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>Ma rétroaction est sous forme de commentaires et de notes et cible :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17742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1E4DE98A" w14:textId="76262BA2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65734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2E0514C5" w14:textId="0309100A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03194" w:rsidRPr="00B205DA" w14:paraId="7D5D2B7C" w14:textId="77777777" w:rsidTr="00903194">
        <w:trPr>
          <w:gridAfter w:val="1"/>
          <w:wAfter w:w="13" w:type="dxa"/>
          <w:trHeight w:val="737"/>
        </w:trPr>
        <w:tc>
          <w:tcPr>
            <w:tcW w:w="921" w:type="dxa"/>
            <w:vMerge/>
          </w:tcPr>
          <w:p w14:paraId="74D57AC1" w14:textId="7777777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69" w:type="dxa"/>
            <w:vAlign w:val="center"/>
          </w:tcPr>
          <w:p w14:paraId="3C1CDE3F" w14:textId="77777777" w:rsidR="00903194" w:rsidRPr="00B205DA" w:rsidRDefault="00903194" w:rsidP="00903194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>La tâche (produit)</w:t>
            </w:r>
          </w:p>
          <w:p w14:paraId="3CD32909" w14:textId="7BF5A16F" w:rsidR="00903194" w:rsidRPr="00B205DA" w:rsidRDefault="00903194" w:rsidP="00903194">
            <w:pPr>
              <w:pStyle w:val="Paragraphedeliste"/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 xml:space="preserve">Résultat : forces et points à améliorer, éléments manquants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46046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0BDA1FE8" w14:textId="41AF94B5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26535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4A06AE65" w14:textId="2ABB3124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03194" w:rsidRPr="00B205DA" w14:paraId="401C4B9A" w14:textId="77777777" w:rsidTr="00903194">
        <w:trPr>
          <w:gridAfter w:val="1"/>
          <w:wAfter w:w="13" w:type="dxa"/>
          <w:trHeight w:val="737"/>
        </w:trPr>
        <w:tc>
          <w:tcPr>
            <w:tcW w:w="921" w:type="dxa"/>
            <w:vMerge/>
          </w:tcPr>
          <w:p w14:paraId="52271D91" w14:textId="7777777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69" w:type="dxa"/>
            <w:vAlign w:val="center"/>
          </w:tcPr>
          <w:p w14:paraId="08B6C2CE" w14:textId="5A505E77" w:rsidR="00903194" w:rsidRPr="00B205DA" w:rsidRDefault="00903194" w:rsidP="00903194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>Le chemin parcouru (processus)</w:t>
            </w:r>
          </w:p>
          <w:p w14:paraId="41A633D8" w14:textId="35E1D5D7" w:rsidR="00903194" w:rsidRPr="00B205DA" w:rsidRDefault="00903194" w:rsidP="00903194">
            <w:pPr>
              <w:pStyle w:val="Paragraphedeliste"/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 xml:space="preserve">Méthodes : forces et points à améliorer, autres choix possibles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72653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201FBC17" w14:textId="407D9BCD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53707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7C7F70EE" w14:textId="0162FDBF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03194" w:rsidRPr="00B205DA" w14:paraId="6F6A07DC" w14:textId="77777777" w:rsidTr="00903194">
        <w:trPr>
          <w:gridAfter w:val="1"/>
          <w:wAfter w:w="13" w:type="dxa"/>
          <w:trHeight w:val="737"/>
        </w:trPr>
        <w:tc>
          <w:tcPr>
            <w:tcW w:w="921" w:type="dxa"/>
            <w:vMerge/>
          </w:tcPr>
          <w:p w14:paraId="69B74C69" w14:textId="77777777" w:rsidR="00903194" w:rsidRPr="00B205DA" w:rsidRDefault="00903194" w:rsidP="009031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69" w:type="dxa"/>
            <w:vAlign w:val="center"/>
          </w:tcPr>
          <w:p w14:paraId="67418618" w14:textId="77777777" w:rsidR="00903194" w:rsidRPr="00B205DA" w:rsidRDefault="00903194" w:rsidP="00903194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>L’introspection (personne/propos)</w:t>
            </w:r>
          </w:p>
          <w:p w14:paraId="37FB5653" w14:textId="36B03388" w:rsidR="00903194" w:rsidRPr="00B205DA" w:rsidRDefault="00903194" w:rsidP="00903194">
            <w:pPr>
              <w:pStyle w:val="Paragraphedeliste"/>
              <w:rPr>
                <w:rFonts w:ascii="Century Gothic" w:hAnsi="Century Gothic"/>
                <w:sz w:val="20"/>
                <w:szCs w:val="20"/>
              </w:rPr>
            </w:pPr>
            <w:r w:rsidRPr="00B205DA">
              <w:rPr>
                <w:rFonts w:ascii="Century Gothic" w:hAnsi="Century Gothic"/>
                <w:sz w:val="20"/>
                <w:szCs w:val="20"/>
              </w:rPr>
              <w:t xml:space="preserve">Processus d’apprentissage : forces et points à améliorer, autres choix de stratégies d’apprentissage.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68866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402B837F" w14:textId="77AEFC04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50418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vAlign w:val="center"/>
              </w:tcPr>
              <w:p w14:paraId="606074B4" w14:textId="387B0114" w:rsidR="00903194" w:rsidRPr="00B205DA" w:rsidRDefault="00903194" w:rsidP="0090319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E67D04" w:rsidRPr="00B205DA" w14:paraId="3DF3F5FB" w14:textId="77777777" w:rsidTr="00903194">
        <w:tc>
          <w:tcPr>
            <w:tcW w:w="9407" w:type="dxa"/>
            <w:gridSpan w:val="5"/>
          </w:tcPr>
          <w:p w14:paraId="624E6D5F" w14:textId="03124477" w:rsidR="00E67D04" w:rsidRPr="00903194" w:rsidRDefault="00E67D04" w:rsidP="00903194">
            <w:pPr>
              <w:spacing w:before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03194">
              <w:rPr>
                <w:rFonts w:ascii="Century Gothic" w:hAnsi="Century Gothic"/>
                <w:b/>
                <w:bCs/>
                <w:sz w:val="20"/>
                <w:szCs w:val="20"/>
              </w:rPr>
              <w:t>Notes personnelles ou objectifs d’amélioration :</w:t>
            </w:r>
          </w:p>
          <w:p w14:paraId="75C6D2A4" w14:textId="77777777" w:rsidR="00E67D04" w:rsidRPr="00B205DA" w:rsidRDefault="00E67D04" w:rsidP="00B205D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78BC474" w14:textId="77777777" w:rsidR="00E67D04" w:rsidRPr="00B205DA" w:rsidRDefault="00E67D04" w:rsidP="00B205D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FC7F1D" w14:textId="77777777" w:rsidR="00E67D04" w:rsidRPr="00B205DA" w:rsidRDefault="00E67D04" w:rsidP="00B205D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AFCC77" w14:textId="77777777" w:rsidR="00E67D04" w:rsidRPr="00B205DA" w:rsidRDefault="00E67D04" w:rsidP="00B205D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171101" w14:textId="77777777" w:rsidR="00E67D04" w:rsidRPr="00B205DA" w:rsidRDefault="00E67D04" w:rsidP="00B205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13D6ECB" w14:textId="3CD03B5C" w:rsidR="009D5F2F" w:rsidRPr="00B205DA" w:rsidRDefault="009D5F2F" w:rsidP="00B205DA">
      <w:pPr>
        <w:spacing w:after="0" w:line="240" w:lineRule="auto"/>
        <w:ind w:right="598"/>
        <w:rPr>
          <w:rFonts w:ascii="Century Gothic" w:hAnsi="Century Gothic"/>
          <w:sz w:val="20"/>
          <w:szCs w:val="20"/>
        </w:rPr>
      </w:pPr>
    </w:p>
    <w:p w14:paraId="1A4AB18F" w14:textId="1A09430A" w:rsidR="002F0F86" w:rsidRPr="004304FE" w:rsidRDefault="009D5F2F" w:rsidP="004304FE">
      <w:pPr>
        <w:spacing w:after="0" w:line="240" w:lineRule="auto"/>
        <w:ind w:right="48"/>
        <w:jc w:val="both"/>
        <w:rPr>
          <w:rStyle w:val="Lienhypertexte"/>
          <w:rFonts w:ascii="Century Gothic" w:hAnsi="Century Gothic"/>
          <w:color w:val="auto"/>
          <w:u w:val="none"/>
        </w:rPr>
      </w:pPr>
      <w:r w:rsidRPr="004304FE">
        <w:rPr>
          <w:rFonts w:ascii="Century Gothic" w:hAnsi="Century Gothic"/>
        </w:rPr>
        <w:t>Pour plus d’information</w:t>
      </w:r>
      <w:r w:rsidR="003F4012" w:rsidRPr="004304FE">
        <w:rPr>
          <w:rFonts w:ascii="Century Gothic" w:hAnsi="Century Gothic"/>
        </w:rPr>
        <w:t>s</w:t>
      </w:r>
      <w:r w:rsidRPr="004304FE">
        <w:rPr>
          <w:rFonts w:ascii="Century Gothic" w:hAnsi="Century Gothic"/>
        </w:rPr>
        <w:t xml:space="preserve"> concernant un élément de l’évaluation des apprentissages et de la compétence, nous vous invitons à contacter votre</w:t>
      </w:r>
      <w:r w:rsidR="00E67D04" w:rsidRPr="004304FE">
        <w:rPr>
          <w:rFonts w:ascii="Century Gothic" w:hAnsi="Century Gothic"/>
        </w:rPr>
        <w:t xml:space="preserve"> </w:t>
      </w:r>
      <w:r w:rsidRPr="004304FE">
        <w:rPr>
          <w:rFonts w:ascii="Century Gothic" w:hAnsi="Century Gothic"/>
        </w:rPr>
        <w:t>conseillère</w:t>
      </w:r>
      <w:r w:rsidR="004304FE">
        <w:rPr>
          <w:rFonts w:ascii="Century Gothic" w:hAnsi="Century Gothic"/>
        </w:rPr>
        <w:t xml:space="preserve"> ou votre conseiller</w:t>
      </w:r>
      <w:r w:rsidRPr="004304FE">
        <w:rPr>
          <w:rFonts w:ascii="Century Gothic" w:hAnsi="Century Gothic"/>
        </w:rPr>
        <w:t xml:space="preserve"> pédagogique. </w:t>
      </w:r>
    </w:p>
    <w:sectPr w:rsidR="002F0F86" w:rsidRPr="004304FE" w:rsidSect="000A5F07">
      <w:footerReference w:type="default" r:id="rId14"/>
      <w:headerReference w:type="first" r:id="rId15"/>
      <w:footerReference w:type="first" r:id="rId16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CB7C3" w14:textId="77777777" w:rsidR="009C6DE9" w:rsidRDefault="009C6DE9" w:rsidP="0004277E">
      <w:pPr>
        <w:spacing w:after="0" w:line="240" w:lineRule="auto"/>
      </w:pPr>
      <w:r>
        <w:separator/>
      </w:r>
    </w:p>
  </w:endnote>
  <w:endnote w:type="continuationSeparator" w:id="0">
    <w:p w14:paraId="3CDCC9F8" w14:textId="77777777" w:rsidR="009C6DE9" w:rsidRDefault="009C6DE9" w:rsidP="0004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lotte Sans Book 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rlotte Sans Book Italic Pla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6123220"/>
      <w:docPartObj>
        <w:docPartGallery w:val="Page Numbers (Bottom of Page)"/>
        <w:docPartUnique/>
      </w:docPartObj>
    </w:sdtPr>
    <w:sdtContent>
      <w:p w14:paraId="4EBF0B57" w14:textId="178FDE8C" w:rsidR="00B205DA" w:rsidRPr="00B205DA" w:rsidRDefault="00B205DA">
        <w:pPr>
          <w:pStyle w:val="Pieddepage"/>
          <w:rPr>
            <w:rFonts w:ascii="Century Gothic" w:hAnsi="Century Gothic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75F74704" wp14:editId="2A6C4B42">
              <wp:simplePos x="0" y="0"/>
              <wp:positionH relativeFrom="column">
                <wp:posOffset>185420</wp:posOffset>
              </wp:positionH>
              <wp:positionV relativeFrom="paragraph">
                <wp:posOffset>-197485</wp:posOffset>
              </wp:positionV>
              <wp:extent cx="5971540" cy="518795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71540" cy="5187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entury Gothic" w:hAnsi="Century Gothic"/>
          </w:rPr>
          <w:fldChar w:fldCharType="begin"/>
        </w:r>
        <w:r>
          <w:rPr>
            <w:rFonts w:ascii="Century Gothic" w:hAnsi="Century Gothic"/>
          </w:rPr>
          <w:instrText>PAGE   \* MERGEFORMAT</w:instrText>
        </w:r>
        <w:r>
          <w:rPr>
            <w:rFonts w:ascii="Century Gothic" w:hAnsi="Century Gothic"/>
          </w:rPr>
          <w:fldChar w:fldCharType="separate"/>
        </w:r>
        <w:r>
          <w:rPr>
            <w:rFonts w:ascii="Century Gothic" w:hAnsi="Century Gothic"/>
          </w:rPr>
          <w:t>1</w:t>
        </w:r>
        <w:r>
          <w:rPr>
            <w:rFonts w:ascii="Century Gothic" w:hAnsi="Century Gothic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340059"/>
      <w:docPartObj>
        <w:docPartGallery w:val="Page Numbers (Bottom of Page)"/>
        <w:docPartUnique/>
      </w:docPartObj>
    </w:sdtPr>
    <w:sdtContent>
      <w:p w14:paraId="5FB4DCD1" w14:textId="1EC6892D" w:rsidR="00B205DA" w:rsidRPr="00B205DA" w:rsidRDefault="00B205DA">
        <w:pPr>
          <w:pStyle w:val="Pieddepage"/>
          <w:rPr>
            <w:rFonts w:ascii="Century Gothic" w:hAnsi="Century Gothic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FCB7B46" wp14:editId="6E039E0F">
              <wp:simplePos x="0" y="0"/>
              <wp:positionH relativeFrom="column">
                <wp:posOffset>185420</wp:posOffset>
              </wp:positionH>
              <wp:positionV relativeFrom="paragraph">
                <wp:posOffset>-197485</wp:posOffset>
              </wp:positionV>
              <wp:extent cx="5971540" cy="518795"/>
              <wp:effectExtent l="0" t="0" r="0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71540" cy="5187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entury Gothic" w:hAnsi="Century Gothic"/>
          </w:rPr>
          <w:fldChar w:fldCharType="begin"/>
        </w:r>
        <w:r>
          <w:rPr>
            <w:rFonts w:ascii="Century Gothic" w:hAnsi="Century Gothic"/>
          </w:rPr>
          <w:instrText>PAGE   \* MERGEFORMAT</w:instrText>
        </w:r>
        <w:r>
          <w:rPr>
            <w:rFonts w:ascii="Century Gothic" w:hAnsi="Century Gothic"/>
          </w:rPr>
          <w:fldChar w:fldCharType="separate"/>
        </w:r>
        <w:r>
          <w:rPr>
            <w:rFonts w:ascii="Century Gothic" w:hAnsi="Century Gothic"/>
          </w:rPr>
          <w:t>1</w:t>
        </w:r>
        <w:r>
          <w:rPr>
            <w:rFonts w:ascii="Century Gothic" w:hAnsi="Century Gothi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EC365" w14:textId="77777777" w:rsidR="009C6DE9" w:rsidRDefault="009C6DE9" w:rsidP="0004277E">
      <w:pPr>
        <w:spacing w:after="0" w:line="240" w:lineRule="auto"/>
      </w:pPr>
      <w:r>
        <w:separator/>
      </w:r>
    </w:p>
  </w:footnote>
  <w:footnote w:type="continuationSeparator" w:id="0">
    <w:p w14:paraId="663D4901" w14:textId="77777777" w:rsidR="009C6DE9" w:rsidRDefault="009C6DE9" w:rsidP="0004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A8201" w14:textId="2926F891" w:rsidR="000A5F07" w:rsidRDefault="000A5F07" w:rsidP="000A5F07">
    <w:pPr>
      <w:pStyle w:val="En-tte"/>
      <w:rPr>
        <w:rFonts w:ascii="Century Gothic" w:hAnsi="Century Gothic"/>
        <w:b/>
        <w:bCs/>
        <w:noProof/>
        <w:sz w:val="42"/>
        <w:szCs w:val="4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C4B1D" wp14:editId="388F4085">
          <wp:simplePos x="0" y="0"/>
          <wp:positionH relativeFrom="column">
            <wp:posOffset>4433570</wp:posOffset>
          </wp:positionH>
          <wp:positionV relativeFrom="paragraph">
            <wp:posOffset>-116840</wp:posOffset>
          </wp:positionV>
          <wp:extent cx="1638300" cy="6667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sz w:val="42"/>
        <w:szCs w:val="42"/>
      </w:rPr>
      <w:t>Bonnes pratiques d</w:t>
    </w:r>
    <w:r>
      <w:rPr>
        <w:rFonts w:ascii="Century Gothic" w:hAnsi="Century Gothic"/>
        <w:b/>
        <w:bCs/>
        <w:noProof/>
        <w:sz w:val="42"/>
        <w:szCs w:val="42"/>
      </w:rPr>
      <w:t>e rétroaction</w:t>
    </w:r>
  </w:p>
  <w:p w14:paraId="02DA64EA" w14:textId="06722730" w:rsidR="000A5F07" w:rsidRPr="00B205DA" w:rsidRDefault="000A5F07" w:rsidP="000A5F07">
    <w:pPr>
      <w:spacing w:after="0" w:line="240" w:lineRule="auto"/>
      <w:jc w:val="both"/>
      <w:rPr>
        <w:rFonts w:ascii="Century Gothic" w:hAnsi="Century Gothic"/>
        <w:b/>
        <w:color w:val="C00000"/>
        <w:sz w:val="26"/>
        <w:szCs w:val="26"/>
      </w:rPr>
    </w:pPr>
    <w:r w:rsidRPr="00B205DA">
      <w:rPr>
        <w:rFonts w:ascii="Century Gothic" w:hAnsi="Century Gothic"/>
        <w:b/>
        <w:color w:val="C00000"/>
        <w:sz w:val="26"/>
        <w:szCs w:val="26"/>
      </w:rPr>
      <w:t xml:space="preserve">Évaluation </w:t>
    </w:r>
    <w:r w:rsidRPr="00B205DA">
      <w:rPr>
        <w:rFonts w:ascii="Century Gothic" w:hAnsi="Century Gothic"/>
        <w:b/>
        <w:color w:val="C00000"/>
        <w:sz w:val="26"/>
        <w:szCs w:val="26"/>
      </w:rPr>
      <w:t>des apprentissages et de la compétence</w:t>
    </w:r>
  </w:p>
  <w:p w14:paraId="3CBF8A12" w14:textId="46CAAB41" w:rsidR="005E3904" w:rsidRPr="000A5F07" w:rsidRDefault="005E3904" w:rsidP="000A5F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2E36"/>
    <w:multiLevelType w:val="hybridMultilevel"/>
    <w:tmpl w:val="3E32838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5E9"/>
    <w:multiLevelType w:val="hybridMultilevel"/>
    <w:tmpl w:val="B8A637CC"/>
    <w:lvl w:ilvl="0" w:tplc="3BB2A446">
      <w:start w:val="6"/>
      <w:numFmt w:val="bullet"/>
      <w:lvlText w:val="-"/>
      <w:lvlJc w:val="left"/>
      <w:pPr>
        <w:ind w:left="1065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F8278B"/>
    <w:multiLevelType w:val="multilevel"/>
    <w:tmpl w:val="56DA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31D95"/>
    <w:multiLevelType w:val="hybridMultilevel"/>
    <w:tmpl w:val="2B06F9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73F8"/>
    <w:multiLevelType w:val="hybridMultilevel"/>
    <w:tmpl w:val="A002F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4662"/>
    <w:multiLevelType w:val="hybridMultilevel"/>
    <w:tmpl w:val="A12C9E66"/>
    <w:lvl w:ilvl="0" w:tplc="0C0C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 w15:restartNumberingAfterBreak="0">
    <w:nsid w:val="1DEC13D6"/>
    <w:multiLevelType w:val="hybridMultilevel"/>
    <w:tmpl w:val="6B306E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E1446"/>
    <w:multiLevelType w:val="hybridMultilevel"/>
    <w:tmpl w:val="67DAB4F4"/>
    <w:lvl w:ilvl="0" w:tplc="8E664E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292"/>
    <w:multiLevelType w:val="hybridMultilevel"/>
    <w:tmpl w:val="C10674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4B48"/>
    <w:multiLevelType w:val="hybridMultilevel"/>
    <w:tmpl w:val="A154C5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08B6"/>
    <w:multiLevelType w:val="hybridMultilevel"/>
    <w:tmpl w:val="36DAA0BC"/>
    <w:lvl w:ilvl="0" w:tplc="F5FA10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63FA"/>
    <w:multiLevelType w:val="hybridMultilevel"/>
    <w:tmpl w:val="BD642D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E45BD"/>
    <w:multiLevelType w:val="hybridMultilevel"/>
    <w:tmpl w:val="2932A8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5121"/>
    <w:multiLevelType w:val="hybridMultilevel"/>
    <w:tmpl w:val="543A99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A332C"/>
    <w:multiLevelType w:val="hybridMultilevel"/>
    <w:tmpl w:val="A4CEEFF0"/>
    <w:lvl w:ilvl="0" w:tplc="0C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B6"/>
    <w:rsid w:val="00002292"/>
    <w:rsid w:val="00007C19"/>
    <w:rsid w:val="00010C8D"/>
    <w:rsid w:val="00014144"/>
    <w:rsid w:val="00033253"/>
    <w:rsid w:val="0004277E"/>
    <w:rsid w:val="00044CDE"/>
    <w:rsid w:val="00044D60"/>
    <w:rsid w:val="000467BE"/>
    <w:rsid w:val="00051DC1"/>
    <w:rsid w:val="0005316F"/>
    <w:rsid w:val="00073BF5"/>
    <w:rsid w:val="00085BA6"/>
    <w:rsid w:val="0008718F"/>
    <w:rsid w:val="00087805"/>
    <w:rsid w:val="00092A5D"/>
    <w:rsid w:val="00094C35"/>
    <w:rsid w:val="000A070F"/>
    <w:rsid w:val="000A5F07"/>
    <w:rsid w:val="000C4BC9"/>
    <w:rsid w:val="00101607"/>
    <w:rsid w:val="00112840"/>
    <w:rsid w:val="001133C1"/>
    <w:rsid w:val="00115484"/>
    <w:rsid w:val="00115A89"/>
    <w:rsid w:val="001225CA"/>
    <w:rsid w:val="00124238"/>
    <w:rsid w:val="00125FA6"/>
    <w:rsid w:val="0014312F"/>
    <w:rsid w:val="00147E1D"/>
    <w:rsid w:val="00151DA7"/>
    <w:rsid w:val="00156D32"/>
    <w:rsid w:val="00165944"/>
    <w:rsid w:val="00183D82"/>
    <w:rsid w:val="00191993"/>
    <w:rsid w:val="001B05ED"/>
    <w:rsid w:val="001B1CC7"/>
    <w:rsid w:val="001B41AF"/>
    <w:rsid w:val="001B4DB4"/>
    <w:rsid w:val="001F5D6A"/>
    <w:rsid w:val="0021054E"/>
    <w:rsid w:val="00211F8B"/>
    <w:rsid w:val="002156F4"/>
    <w:rsid w:val="002416DA"/>
    <w:rsid w:val="00243474"/>
    <w:rsid w:val="00254FAC"/>
    <w:rsid w:val="002550E2"/>
    <w:rsid w:val="00256D84"/>
    <w:rsid w:val="002654CD"/>
    <w:rsid w:val="00284427"/>
    <w:rsid w:val="00284C53"/>
    <w:rsid w:val="00290CEC"/>
    <w:rsid w:val="00294FEA"/>
    <w:rsid w:val="002A5E74"/>
    <w:rsid w:val="002A69EA"/>
    <w:rsid w:val="002C0F87"/>
    <w:rsid w:val="002D1846"/>
    <w:rsid w:val="002F0F86"/>
    <w:rsid w:val="00301490"/>
    <w:rsid w:val="00302895"/>
    <w:rsid w:val="00303B67"/>
    <w:rsid w:val="00325724"/>
    <w:rsid w:val="00325890"/>
    <w:rsid w:val="003437E6"/>
    <w:rsid w:val="00344F9A"/>
    <w:rsid w:val="00346A62"/>
    <w:rsid w:val="00347FAE"/>
    <w:rsid w:val="00354AFF"/>
    <w:rsid w:val="00354B02"/>
    <w:rsid w:val="00371B78"/>
    <w:rsid w:val="00373E4A"/>
    <w:rsid w:val="003746D2"/>
    <w:rsid w:val="00390FE3"/>
    <w:rsid w:val="003C068B"/>
    <w:rsid w:val="003D25C1"/>
    <w:rsid w:val="003D5798"/>
    <w:rsid w:val="003E6361"/>
    <w:rsid w:val="003E656A"/>
    <w:rsid w:val="003E69D5"/>
    <w:rsid w:val="003F4012"/>
    <w:rsid w:val="003F690F"/>
    <w:rsid w:val="00405F7C"/>
    <w:rsid w:val="0040697A"/>
    <w:rsid w:val="00427A62"/>
    <w:rsid w:val="004304FE"/>
    <w:rsid w:val="00435CD2"/>
    <w:rsid w:val="004525F1"/>
    <w:rsid w:val="00456DB2"/>
    <w:rsid w:val="00462E4F"/>
    <w:rsid w:val="00484F74"/>
    <w:rsid w:val="004A3648"/>
    <w:rsid w:val="004A4C73"/>
    <w:rsid w:val="004A5F1A"/>
    <w:rsid w:val="004A7EFD"/>
    <w:rsid w:val="004B0924"/>
    <w:rsid w:val="004B0EBE"/>
    <w:rsid w:val="004C0AFF"/>
    <w:rsid w:val="004C4CB6"/>
    <w:rsid w:val="004C59B8"/>
    <w:rsid w:val="004D45C8"/>
    <w:rsid w:val="004E685C"/>
    <w:rsid w:val="004E6B32"/>
    <w:rsid w:val="004F22D8"/>
    <w:rsid w:val="0050397C"/>
    <w:rsid w:val="0050727B"/>
    <w:rsid w:val="00516831"/>
    <w:rsid w:val="0052248A"/>
    <w:rsid w:val="005272EB"/>
    <w:rsid w:val="00553FD0"/>
    <w:rsid w:val="00557A39"/>
    <w:rsid w:val="00582302"/>
    <w:rsid w:val="0059119E"/>
    <w:rsid w:val="00595EF0"/>
    <w:rsid w:val="005977EB"/>
    <w:rsid w:val="005A0FF6"/>
    <w:rsid w:val="005A175C"/>
    <w:rsid w:val="005A1A95"/>
    <w:rsid w:val="005A2033"/>
    <w:rsid w:val="005B7DEB"/>
    <w:rsid w:val="005C5215"/>
    <w:rsid w:val="005D6165"/>
    <w:rsid w:val="005E1062"/>
    <w:rsid w:val="005E3904"/>
    <w:rsid w:val="005F1372"/>
    <w:rsid w:val="00601F4C"/>
    <w:rsid w:val="00610870"/>
    <w:rsid w:val="00612458"/>
    <w:rsid w:val="006129F6"/>
    <w:rsid w:val="006430EE"/>
    <w:rsid w:val="00645535"/>
    <w:rsid w:val="006466B6"/>
    <w:rsid w:val="0065463A"/>
    <w:rsid w:val="00654D49"/>
    <w:rsid w:val="0067382C"/>
    <w:rsid w:val="00677696"/>
    <w:rsid w:val="00682F47"/>
    <w:rsid w:val="00685104"/>
    <w:rsid w:val="00692977"/>
    <w:rsid w:val="006929DE"/>
    <w:rsid w:val="0069416D"/>
    <w:rsid w:val="006A75A4"/>
    <w:rsid w:val="006B2B17"/>
    <w:rsid w:val="006C226D"/>
    <w:rsid w:val="006C278C"/>
    <w:rsid w:val="006E2227"/>
    <w:rsid w:val="006E4D01"/>
    <w:rsid w:val="006E74F3"/>
    <w:rsid w:val="007041EE"/>
    <w:rsid w:val="00713615"/>
    <w:rsid w:val="007230FB"/>
    <w:rsid w:val="0073463A"/>
    <w:rsid w:val="00740567"/>
    <w:rsid w:val="00746CA4"/>
    <w:rsid w:val="0075044D"/>
    <w:rsid w:val="007512FC"/>
    <w:rsid w:val="0075294E"/>
    <w:rsid w:val="00761E61"/>
    <w:rsid w:val="007773C3"/>
    <w:rsid w:val="00780FD0"/>
    <w:rsid w:val="0078296D"/>
    <w:rsid w:val="00791AAF"/>
    <w:rsid w:val="007A0F8E"/>
    <w:rsid w:val="007C115E"/>
    <w:rsid w:val="007C129B"/>
    <w:rsid w:val="007C1E67"/>
    <w:rsid w:val="007C3F53"/>
    <w:rsid w:val="007C6C4A"/>
    <w:rsid w:val="007C76E1"/>
    <w:rsid w:val="007D731E"/>
    <w:rsid w:val="0080715B"/>
    <w:rsid w:val="008145D9"/>
    <w:rsid w:val="008331C7"/>
    <w:rsid w:val="008348BA"/>
    <w:rsid w:val="00837B51"/>
    <w:rsid w:val="00850C79"/>
    <w:rsid w:val="00851924"/>
    <w:rsid w:val="008674CC"/>
    <w:rsid w:val="0087143A"/>
    <w:rsid w:val="008933BA"/>
    <w:rsid w:val="008A5419"/>
    <w:rsid w:val="008B1CCB"/>
    <w:rsid w:val="008C12F3"/>
    <w:rsid w:val="008C6E04"/>
    <w:rsid w:val="008D1AD5"/>
    <w:rsid w:val="008F47A9"/>
    <w:rsid w:val="00902E0B"/>
    <w:rsid w:val="00903194"/>
    <w:rsid w:val="00917E9F"/>
    <w:rsid w:val="0092074C"/>
    <w:rsid w:val="009253F5"/>
    <w:rsid w:val="00931159"/>
    <w:rsid w:val="00943934"/>
    <w:rsid w:val="009508D1"/>
    <w:rsid w:val="009508D5"/>
    <w:rsid w:val="009707D5"/>
    <w:rsid w:val="00976A76"/>
    <w:rsid w:val="009842CF"/>
    <w:rsid w:val="00985ADA"/>
    <w:rsid w:val="009935DE"/>
    <w:rsid w:val="00993715"/>
    <w:rsid w:val="00994DA4"/>
    <w:rsid w:val="0099784A"/>
    <w:rsid w:val="009A310F"/>
    <w:rsid w:val="009A6177"/>
    <w:rsid w:val="009C0C93"/>
    <w:rsid w:val="009C3532"/>
    <w:rsid w:val="009C4CFB"/>
    <w:rsid w:val="009C6DE9"/>
    <w:rsid w:val="009D0F8E"/>
    <w:rsid w:val="009D496B"/>
    <w:rsid w:val="009D590B"/>
    <w:rsid w:val="009D5F2F"/>
    <w:rsid w:val="00A06867"/>
    <w:rsid w:val="00A070B8"/>
    <w:rsid w:val="00A14D63"/>
    <w:rsid w:val="00A3654A"/>
    <w:rsid w:val="00A375C2"/>
    <w:rsid w:val="00A42C1E"/>
    <w:rsid w:val="00A46FEF"/>
    <w:rsid w:val="00A542F2"/>
    <w:rsid w:val="00A70CE5"/>
    <w:rsid w:val="00A71C82"/>
    <w:rsid w:val="00A74E7A"/>
    <w:rsid w:val="00A74F24"/>
    <w:rsid w:val="00A761FA"/>
    <w:rsid w:val="00A838DB"/>
    <w:rsid w:val="00A87DC8"/>
    <w:rsid w:val="00A9145F"/>
    <w:rsid w:val="00A94473"/>
    <w:rsid w:val="00A94663"/>
    <w:rsid w:val="00A96048"/>
    <w:rsid w:val="00A96BE2"/>
    <w:rsid w:val="00AA5001"/>
    <w:rsid w:val="00AB09AF"/>
    <w:rsid w:val="00AC303F"/>
    <w:rsid w:val="00AC41B4"/>
    <w:rsid w:val="00AC44FD"/>
    <w:rsid w:val="00AF0F58"/>
    <w:rsid w:val="00AF3976"/>
    <w:rsid w:val="00AF5C2B"/>
    <w:rsid w:val="00B05D95"/>
    <w:rsid w:val="00B205DA"/>
    <w:rsid w:val="00B20A50"/>
    <w:rsid w:val="00B475E0"/>
    <w:rsid w:val="00B535DB"/>
    <w:rsid w:val="00BA5371"/>
    <w:rsid w:val="00BB7B42"/>
    <w:rsid w:val="00BC210C"/>
    <w:rsid w:val="00BD1795"/>
    <w:rsid w:val="00BD6DF2"/>
    <w:rsid w:val="00BE67E1"/>
    <w:rsid w:val="00BF00C9"/>
    <w:rsid w:val="00C109DC"/>
    <w:rsid w:val="00C2023F"/>
    <w:rsid w:val="00C20EB1"/>
    <w:rsid w:val="00C25833"/>
    <w:rsid w:val="00C35B08"/>
    <w:rsid w:val="00C365DD"/>
    <w:rsid w:val="00C41D86"/>
    <w:rsid w:val="00C47484"/>
    <w:rsid w:val="00C561B0"/>
    <w:rsid w:val="00C64A34"/>
    <w:rsid w:val="00C70B93"/>
    <w:rsid w:val="00C70BBD"/>
    <w:rsid w:val="00C73B95"/>
    <w:rsid w:val="00C755AB"/>
    <w:rsid w:val="00C82BA9"/>
    <w:rsid w:val="00C855D4"/>
    <w:rsid w:val="00C90266"/>
    <w:rsid w:val="00CA7A48"/>
    <w:rsid w:val="00CC5B12"/>
    <w:rsid w:val="00CC7A07"/>
    <w:rsid w:val="00CD28E1"/>
    <w:rsid w:val="00CE307C"/>
    <w:rsid w:val="00CE39E2"/>
    <w:rsid w:val="00CF4352"/>
    <w:rsid w:val="00CF7C7B"/>
    <w:rsid w:val="00D16CA2"/>
    <w:rsid w:val="00D326A3"/>
    <w:rsid w:val="00D34BB0"/>
    <w:rsid w:val="00D363FF"/>
    <w:rsid w:val="00D44B0C"/>
    <w:rsid w:val="00D67561"/>
    <w:rsid w:val="00D76D80"/>
    <w:rsid w:val="00D92337"/>
    <w:rsid w:val="00D95082"/>
    <w:rsid w:val="00DA2F91"/>
    <w:rsid w:val="00DB2561"/>
    <w:rsid w:val="00DC6DDD"/>
    <w:rsid w:val="00DC6E2D"/>
    <w:rsid w:val="00DF4118"/>
    <w:rsid w:val="00E0010B"/>
    <w:rsid w:val="00E01837"/>
    <w:rsid w:val="00E04A1E"/>
    <w:rsid w:val="00E064C8"/>
    <w:rsid w:val="00E16F99"/>
    <w:rsid w:val="00E17561"/>
    <w:rsid w:val="00E23DF9"/>
    <w:rsid w:val="00E30097"/>
    <w:rsid w:val="00E4527E"/>
    <w:rsid w:val="00E54309"/>
    <w:rsid w:val="00E67D04"/>
    <w:rsid w:val="00E866D7"/>
    <w:rsid w:val="00E91677"/>
    <w:rsid w:val="00E94380"/>
    <w:rsid w:val="00E972F8"/>
    <w:rsid w:val="00EA048C"/>
    <w:rsid w:val="00EA18C7"/>
    <w:rsid w:val="00EB11FB"/>
    <w:rsid w:val="00ED10CF"/>
    <w:rsid w:val="00EE0988"/>
    <w:rsid w:val="00EE61C3"/>
    <w:rsid w:val="00EF3389"/>
    <w:rsid w:val="00F16FC9"/>
    <w:rsid w:val="00F22B23"/>
    <w:rsid w:val="00F3404F"/>
    <w:rsid w:val="00F47B41"/>
    <w:rsid w:val="00F5150D"/>
    <w:rsid w:val="00F630B5"/>
    <w:rsid w:val="00F73630"/>
    <w:rsid w:val="00F7674C"/>
    <w:rsid w:val="00F85C64"/>
    <w:rsid w:val="00F974A5"/>
    <w:rsid w:val="00FA0A6C"/>
    <w:rsid w:val="00FA7E5D"/>
    <w:rsid w:val="00FC32BF"/>
    <w:rsid w:val="00FD0BC9"/>
    <w:rsid w:val="00FD1BA0"/>
    <w:rsid w:val="00FD7E5F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1BE26151"/>
  <w15:chartTrackingRefBased/>
  <w15:docId w15:val="{D8667E56-F775-42F2-9A22-3E91BEBE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42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C4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143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427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77E"/>
  </w:style>
  <w:style w:type="paragraph" w:styleId="Pieddepage">
    <w:name w:val="footer"/>
    <w:basedOn w:val="Normal"/>
    <w:link w:val="PieddepageCar"/>
    <w:uiPriority w:val="99"/>
    <w:unhideWhenUsed/>
    <w:rsid w:val="000427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77E"/>
  </w:style>
  <w:style w:type="character" w:styleId="Mentionnonrsolue">
    <w:name w:val="Unresolved Mention"/>
    <w:basedOn w:val="Policepardfaut"/>
    <w:uiPriority w:val="99"/>
    <w:semiHidden/>
    <w:unhideWhenUsed/>
    <w:rsid w:val="002C0F8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8674CC"/>
    <w:rPr>
      <w:i/>
      <w:iCs/>
    </w:rPr>
  </w:style>
  <w:style w:type="character" w:customStyle="1" w:styleId="titlerespstmt">
    <w:name w:val="title_resp_stmt"/>
    <w:basedOn w:val="Policepardfaut"/>
    <w:rsid w:val="00094C35"/>
  </w:style>
  <w:style w:type="paragraph" w:customStyle="1" w:styleId="Default">
    <w:name w:val="Default"/>
    <w:rsid w:val="009D590B"/>
    <w:pPr>
      <w:autoSpaceDE w:val="0"/>
      <w:autoSpaceDN w:val="0"/>
      <w:adjustRightInd w:val="0"/>
      <w:spacing w:after="0" w:line="240" w:lineRule="auto"/>
    </w:pPr>
    <w:rPr>
      <w:rFonts w:ascii="Charlotte Sans Book Plain" w:hAnsi="Charlotte Sans Book Plain" w:cs="Charlotte Sans Book Plain"/>
      <w:color w:val="000000"/>
      <w:sz w:val="24"/>
      <w:szCs w:val="24"/>
    </w:rPr>
  </w:style>
  <w:style w:type="character" w:customStyle="1" w:styleId="A8">
    <w:name w:val="A8"/>
    <w:uiPriority w:val="99"/>
    <w:rsid w:val="009D590B"/>
    <w:rPr>
      <w:rFonts w:cs="Charlotte Sans Book Plain"/>
      <w:color w:val="152733"/>
      <w:sz w:val="16"/>
      <w:szCs w:val="16"/>
    </w:rPr>
  </w:style>
  <w:style w:type="character" w:customStyle="1" w:styleId="A15">
    <w:name w:val="A15"/>
    <w:uiPriority w:val="99"/>
    <w:rsid w:val="009D590B"/>
    <w:rPr>
      <w:rFonts w:ascii="Charlotte Sans Book Italic Plai" w:hAnsi="Charlotte Sans Book Italic Plai" w:cs="Charlotte Sans Book Italic Plai"/>
      <w:color w:val="152733"/>
      <w:sz w:val="9"/>
      <w:szCs w:val="9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F01D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F01D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F01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4C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4C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4C7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50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0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0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0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0E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A14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edagogie.uquebec.ca/portail/sites/ptc.uquebec.ca.pedagogie/files/R%C3%A9pertoire%20de%20ressources/grilles_eval_cahier_participan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geprimouski.qc.ca/pedagotru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edagogie.uquebec.ca/portail/veille/bulletin-de-veille-no6-fevrier-2016-levaluation-et-laretroaction-par-les-pairs-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B78B4238504F841293BF274B063E" ma:contentTypeVersion="4" ma:contentTypeDescription="Crée un document." ma:contentTypeScope="" ma:versionID="0494fd4e0ec1781a6dadc5c7704d6a8e">
  <xsd:schema xmlns:xsd="http://www.w3.org/2001/XMLSchema" xmlns:xs="http://www.w3.org/2001/XMLSchema" xmlns:p="http://schemas.microsoft.com/office/2006/metadata/properties" xmlns:ns2="52561240-a2c8-484c-9dc5-9ec1221ad765" xmlns:ns3="39c49566-a46e-4c30-a179-34730c472ac8" targetNamespace="http://schemas.microsoft.com/office/2006/metadata/properties" ma:root="true" ma:fieldsID="33954bd20ac50a6f3466788c07a3a7d8" ns2:_="" ns3:_="">
    <xsd:import namespace="52561240-a2c8-484c-9dc5-9ec1221ad765"/>
    <xsd:import namespace="39c49566-a46e-4c30-a179-34730c472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1240-a2c8-484c-9dc5-9ec1221a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9566-a46e-4c30-a179-34730c472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20A61-B9B8-4074-A332-2DE305D29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38D68-D394-44BC-A9EE-BA52E326F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E1006-B0FD-48C5-BE7B-87C70B0C1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1FCFE-74F0-466E-BD37-79580C81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1240-a2c8-484c-9dc5-9ec1221ad765"/>
    <ds:schemaRef ds:uri="39c49566-a46e-4c30-a179-34730c472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Drummondville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Doré, Roxane</dc:creator>
  <cp:keywords/>
  <dc:description/>
  <cp:lastModifiedBy>René, Julie</cp:lastModifiedBy>
  <cp:revision>8</cp:revision>
  <cp:lastPrinted>2019-10-07T18:38:00Z</cp:lastPrinted>
  <dcterms:created xsi:type="dcterms:W3CDTF">2020-08-10T18:49:00Z</dcterms:created>
  <dcterms:modified xsi:type="dcterms:W3CDTF">2020-08-10T19:26:00Z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0x01010020E4B78B4238504F841293BF274B063E</vt:lpwstr>
  </property>
</Properties>
</file>