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00956" w14:textId="77777777" w:rsidR="002F7AA7" w:rsidRDefault="002F7AA7" w:rsidP="0069314C">
      <w:pPr>
        <w:shd w:val="clear" w:color="auto" w:fill="FFFFFF"/>
        <w:spacing w:before="180" w:after="180" w:line="276" w:lineRule="auto"/>
        <w:ind w:right="122"/>
        <w:rPr>
          <w:rFonts w:ascii="Century Gothic" w:eastAsia="Times New Roman" w:hAnsi="Century Gothic" w:cs="Arial"/>
          <w:color w:val="4A4A4A"/>
          <w:lang w:eastAsia="fr-CA"/>
        </w:rPr>
      </w:pPr>
    </w:p>
    <w:p w14:paraId="6DDD08BD" w14:textId="77E29284" w:rsidR="0069314C" w:rsidRPr="002F7AA7" w:rsidRDefault="00952FA7" w:rsidP="002F7AA7">
      <w:pPr>
        <w:shd w:val="clear" w:color="auto" w:fill="FFFFFF"/>
        <w:spacing w:after="0" w:line="240" w:lineRule="auto"/>
        <w:ind w:right="122"/>
        <w:jc w:val="both"/>
        <w:rPr>
          <w:rFonts w:ascii="Century Gothic" w:eastAsia="Times New Roman" w:hAnsi="Century Gothic" w:cs="Arial"/>
          <w:color w:val="4A4A4A"/>
          <w:lang w:eastAsia="fr-CA"/>
        </w:rPr>
      </w:pPr>
      <w:r w:rsidRPr="002F7AA7">
        <w:rPr>
          <w:rFonts w:ascii="Century Gothic" w:eastAsia="Times New Roman" w:hAnsi="Century Gothic" w:cs="Arial"/>
          <w:color w:val="4A4A4A"/>
          <w:lang w:eastAsia="fr-CA"/>
        </w:rPr>
        <w:t xml:space="preserve">Afin de véritablement faire la promotion de l’intégrité étudiante, </w:t>
      </w:r>
      <w:r w:rsidR="0069314C" w:rsidRPr="002F7AA7">
        <w:rPr>
          <w:rFonts w:ascii="Century Gothic" w:eastAsia="Times New Roman" w:hAnsi="Century Gothic" w:cs="Arial"/>
          <w:color w:val="4A4A4A"/>
          <w:lang w:eastAsia="fr-CA"/>
        </w:rPr>
        <w:t xml:space="preserve">un groupe de travail 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 xml:space="preserve">sur l’intégrité académique </w:t>
      </w:r>
      <w:r w:rsidR="0069314C" w:rsidRPr="002F7AA7">
        <w:rPr>
          <w:rFonts w:ascii="Century Gothic" w:eastAsia="Times New Roman" w:hAnsi="Century Gothic" w:cs="Arial"/>
          <w:color w:val="4A4A4A"/>
          <w:lang w:eastAsia="fr-CA"/>
        </w:rPr>
        <w:t xml:space="preserve">de l’Université de Sherbrooke 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>a fait l’exercice de traduire les comportements négatifs à éviter en comportements positifs à encourager. C’est un renversement de posture audacieux qui s’avérera, nous l’espérons, fructueux. Dans plusieurs cas, certains comportements attendus des enseignant</w:t>
      </w:r>
      <w:r w:rsidR="002F7AA7">
        <w:rPr>
          <w:rFonts w:ascii="Century Gothic" w:eastAsia="Times New Roman" w:hAnsi="Century Gothic" w:cs="Arial"/>
          <w:color w:val="4A4A4A"/>
          <w:lang w:eastAsia="fr-CA"/>
        </w:rPr>
        <w:t>e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>s</w:t>
      </w:r>
      <w:r w:rsidR="002F7AA7">
        <w:rPr>
          <w:rFonts w:ascii="Century Gothic" w:eastAsia="Times New Roman" w:hAnsi="Century Gothic" w:cs="Arial"/>
          <w:color w:val="4A4A4A"/>
          <w:lang w:eastAsia="fr-CA"/>
        </w:rPr>
        <w:t xml:space="preserve"> et des enseignants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 xml:space="preserve"> constituent un simple rappel de bonnes pratiques dans l’alliance pédagogique entre une enseignante</w:t>
      </w:r>
      <w:r w:rsidR="00995CD4">
        <w:rPr>
          <w:rFonts w:ascii="Century Gothic" w:eastAsia="Times New Roman" w:hAnsi="Century Gothic" w:cs="Arial"/>
          <w:color w:val="4A4A4A"/>
          <w:lang w:eastAsia="fr-CA"/>
        </w:rPr>
        <w:t xml:space="preserve"> ou 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>un enseignant et ses étudiant</w:t>
      </w:r>
      <w:r w:rsidR="002F7AA7">
        <w:rPr>
          <w:rFonts w:ascii="Century Gothic" w:eastAsia="Times New Roman" w:hAnsi="Century Gothic" w:cs="Arial"/>
          <w:color w:val="4A4A4A"/>
          <w:lang w:eastAsia="fr-CA"/>
        </w:rPr>
        <w:t>e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>s</w:t>
      </w:r>
      <w:r w:rsidR="002F7AA7">
        <w:rPr>
          <w:rFonts w:ascii="Century Gothic" w:eastAsia="Times New Roman" w:hAnsi="Century Gothic" w:cs="Arial"/>
          <w:color w:val="4A4A4A"/>
          <w:lang w:eastAsia="fr-CA"/>
        </w:rPr>
        <w:t xml:space="preserve"> et ses étudiants</w:t>
      </w:r>
      <w:r w:rsidRPr="002F7AA7">
        <w:rPr>
          <w:rFonts w:ascii="Century Gothic" w:eastAsia="Times New Roman" w:hAnsi="Century Gothic" w:cs="Arial"/>
          <w:color w:val="4A4A4A"/>
          <w:lang w:eastAsia="fr-CA"/>
        </w:rPr>
        <w:t>.</w:t>
      </w:r>
    </w:p>
    <w:p w14:paraId="76DC0775" w14:textId="77777777" w:rsidR="00403685" w:rsidRPr="002F7AA7" w:rsidRDefault="00403685" w:rsidP="002F7AA7">
      <w:pPr>
        <w:shd w:val="clear" w:color="auto" w:fill="FFFFFF"/>
        <w:spacing w:after="0" w:line="240" w:lineRule="auto"/>
        <w:ind w:right="125"/>
        <w:rPr>
          <w:rFonts w:ascii="Century Gothic" w:eastAsia="Times New Roman" w:hAnsi="Century Gothic" w:cs="Arial"/>
          <w:color w:val="4A4A4A"/>
          <w:lang w:eastAsia="fr-CA"/>
        </w:rPr>
      </w:pPr>
    </w:p>
    <w:p w14:paraId="6088EF17" w14:textId="77777777" w:rsidR="002F7AA7" w:rsidRPr="002F7AA7" w:rsidRDefault="002F7AA7" w:rsidP="002F7AA7">
      <w:pPr>
        <w:shd w:val="clear" w:color="auto" w:fill="FFFFFF"/>
        <w:spacing w:after="0" w:line="240" w:lineRule="auto"/>
        <w:outlineLvl w:val="2"/>
        <w:rPr>
          <w:rFonts w:ascii="Century Gothic" w:eastAsia="Times New Roman" w:hAnsi="Century Gothic" w:cs="Arial"/>
          <w:b/>
          <w:bCs/>
          <w:color w:val="C00000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8"/>
        <w:gridCol w:w="4766"/>
      </w:tblGrid>
      <w:tr w:rsidR="002F7AA7" w:rsidRPr="002F7AA7" w14:paraId="0EE043D4" w14:textId="77777777" w:rsidTr="005E3EC8">
        <w:trPr>
          <w:trHeight w:val="567"/>
        </w:trPr>
        <w:tc>
          <w:tcPr>
            <w:tcW w:w="9394" w:type="dxa"/>
            <w:gridSpan w:val="2"/>
            <w:shd w:val="clear" w:color="auto" w:fill="D9D9D9" w:themeFill="background1" w:themeFillShade="D9"/>
            <w:vAlign w:val="center"/>
          </w:tcPr>
          <w:p w14:paraId="1E14612A" w14:textId="60091D68" w:rsidR="002F7AA7" w:rsidRPr="002F7AA7" w:rsidRDefault="002F7AA7" w:rsidP="002F7AA7">
            <w:pPr>
              <w:ind w:right="122"/>
              <w:jc w:val="center"/>
              <w:rPr>
                <w:rFonts w:ascii="Century Gothic" w:eastAsia="Times New Roman" w:hAnsi="Century Gothic" w:cs="Arial"/>
                <w:b/>
                <w:bCs/>
                <w:color w:val="C00000"/>
                <w:sz w:val="24"/>
                <w:szCs w:val="24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b/>
                <w:bCs/>
                <w:color w:val="C00000"/>
                <w:sz w:val="24"/>
                <w:szCs w:val="24"/>
                <w:lang w:eastAsia="fr-CA"/>
              </w:rPr>
              <w:t>Comportements favorisant l’intégrité dans les travaux et les examens</w:t>
            </w:r>
          </w:p>
        </w:tc>
      </w:tr>
      <w:tr w:rsidR="0069314C" w:rsidRPr="002F7AA7" w14:paraId="2ECC6811" w14:textId="77777777" w:rsidTr="002F7AA7">
        <w:trPr>
          <w:trHeight w:val="567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0A86D280" w14:textId="71A8F426" w:rsidR="0069314C" w:rsidRPr="002F7AA7" w:rsidRDefault="002F7AA7" w:rsidP="002F7AA7">
            <w:pPr>
              <w:ind w:right="122"/>
              <w:jc w:val="center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D1D1D"/>
                <w:lang w:eastAsia="fr-CA"/>
              </w:rPr>
              <w:t>Travaux</w:t>
            </w:r>
          </w:p>
        </w:tc>
        <w:tc>
          <w:tcPr>
            <w:tcW w:w="4766" w:type="dxa"/>
            <w:shd w:val="clear" w:color="auto" w:fill="D9D9D9" w:themeFill="background1" w:themeFillShade="D9"/>
            <w:vAlign w:val="center"/>
          </w:tcPr>
          <w:p w14:paraId="71463E2E" w14:textId="51CBF748" w:rsidR="0069314C" w:rsidRPr="002F7AA7" w:rsidRDefault="002F7AA7" w:rsidP="002F7AA7">
            <w:pPr>
              <w:ind w:right="122"/>
              <w:jc w:val="center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1D1D1D"/>
                <w:lang w:eastAsia="fr-CA"/>
              </w:rPr>
              <w:t>Examens</w:t>
            </w:r>
          </w:p>
        </w:tc>
      </w:tr>
      <w:tr w:rsidR="0069314C" w:rsidRPr="002F7AA7" w14:paraId="7B82A45A" w14:textId="77777777" w:rsidTr="002F7AA7">
        <w:tc>
          <w:tcPr>
            <w:tcW w:w="4628" w:type="dxa"/>
          </w:tcPr>
          <w:p w14:paraId="3F6E0482" w14:textId="44917E8B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 xml:space="preserve">S’assurer que les consignes ont été comprises </w:t>
            </w:r>
            <w:r w:rsid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>par chaque</w:t>
            </w: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 xml:space="preserve"> étudiante et étudiant</w:t>
            </w:r>
          </w:p>
          <w:p w14:paraId="7AAFD400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Expliquer clairement ce qui est attendu comme « originalité »</w:t>
            </w:r>
          </w:p>
          <w:p w14:paraId="46650FF7" w14:textId="20C88861" w:rsidR="0069314C" w:rsidRPr="002F7AA7" w:rsidRDefault="0069314C" w:rsidP="00995CD4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ind w:left="499" w:hanging="283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 xml:space="preserve">Demander des travaux qui développent l’esprit critique par rapport à ce qui est disponible sur le </w:t>
            </w:r>
            <w:r w:rsid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>W</w:t>
            </w: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eb</w:t>
            </w:r>
          </w:p>
          <w:p w14:paraId="2E225C42" w14:textId="330F76E9" w:rsidR="0069314C" w:rsidRDefault="0069314C" w:rsidP="00995CD4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ind w:left="499" w:hanging="283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Demander des travaux différents pour chaque prestation d’une même activité pédagogique</w:t>
            </w:r>
          </w:p>
          <w:p w14:paraId="773A2E88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Préciser le style de référencement documentaire demandé</w:t>
            </w:r>
          </w:p>
          <w:p w14:paraId="0E182074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Indiquer s’il est permis d’utiliser un travail antérieur (en tout ou en partie)</w:t>
            </w:r>
          </w:p>
          <w:p w14:paraId="4EA1BE28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Demander à voir toutes les étapes du processus d’expérimentation ou de collecte de données et à obtenir tous les résultats de l’expérimentation et toutes les données collectées</w:t>
            </w:r>
          </w:p>
          <w:p w14:paraId="72C129AB" w14:textId="1C24808A" w:rsidR="00403685" w:rsidRPr="00995CD4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04040" w:themeColor="text1" w:themeTint="BF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04040" w:themeColor="text1" w:themeTint="BF"/>
                <w:lang w:eastAsia="fr-CA"/>
              </w:rPr>
              <w:t>Dans le cas d’une évaluation individuelle, préciser les limites de la collaboration et du travail d’équipe.</w:t>
            </w:r>
          </w:p>
        </w:tc>
        <w:tc>
          <w:tcPr>
            <w:tcW w:w="4766" w:type="dxa"/>
          </w:tcPr>
          <w:p w14:paraId="02221B5E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Préciser comment les étudiantes et étudiants peuvent se préparer aux examens</w:t>
            </w:r>
          </w:p>
          <w:p w14:paraId="71809566" w14:textId="71FEF6E0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S’assurer de les avoir entra</w:t>
            </w:r>
            <w:r w:rsid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>i</w:t>
            </w: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nés aux modalités d’évaluation choisies</w:t>
            </w:r>
          </w:p>
          <w:p w14:paraId="6CF0695C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S’assurer de l’identité des étudiantes et étudiants</w:t>
            </w:r>
          </w:p>
          <w:p w14:paraId="5E06D034" w14:textId="77777777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Préparer des examens différents pour chaque prestation d’une même activité pédagogique</w:t>
            </w:r>
          </w:p>
          <w:p w14:paraId="466E3661" w14:textId="1CB07C21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 xml:space="preserve">S’assurer que les consignes ont été comprises par </w:t>
            </w:r>
            <w:r w:rsid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>chaque étudiante et étudiant</w:t>
            </w:r>
          </w:p>
          <w:p w14:paraId="71624C31" w14:textId="77777777" w:rsidR="00995CD4" w:rsidRDefault="0069314C" w:rsidP="00995CD4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ind w:left="499" w:hanging="283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>Préciser, le cas échéant, ce qu’il est permis d’utiliser pendant l’examen</w:t>
            </w:r>
          </w:p>
          <w:p w14:paraId="77DC1C4A" w14:textId="47D5D53C" w:rsidR="0069314C" w:rsidRPr="00995CD4" w:rsidRDefault="0069314C" w:rsidP="00995CD4">
            <w:pPr>
              <w:pStyle w:val="Paragraphedeliste"/>
              <w:numPr>
                <w:ilvl w:val="0"/>
                <w:numId w:val="4"/>
              </w:numPr>
              <w:shd w:val="clear" w:color="auto" w:fill="FFFFFF"/>
              <w:ind w:left="499" w:hanging="283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>Préciser, le cas échéant, les limites de la collaboration</w:t>
            </w:r>
          </w:p>
          <w:p w14:paraId="52363FB6" w14:textId="7C102A05" w:rsidR="0069314C" w:rsidRPr="002F7AA7" w:rsidRDefault="0069314C" w:rsidP="00995CD4">
            <w:pPr>
              <w:numPr>
                <w:ilvl w:val="0"/>
                <w:numId w:val="1"/>
              </w:numPr>
              <w:shd w:val="clear" w:color="auto" w:fill="FFFFFF"/>
              <w:spacing w:before="200" w:after="200"/>
              <w:ind w:left="170" w:hanging="244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>Donner des rétroactions qui renseignent les étudiantes</w:t>
            </w:r>
            <w:r w:rsidR="00995CD4">
              <w:rPr>
                <w:rFonts w:ascii="Century Gothic" w:eastAsia="Times New Roman" w:hAnsi="Century Gothic" w:cs="Arial"/>
                <w:color w:val="4A4A4A"/>
                <w:lang w:eastAsia="fr-CA"/>
              </w:rPr>
              <w:t xml:space="preserve"> et les étudiants</w:t>
            </w:r>
            <w:r w:rsidRPr="002F7AA7">
              <w:rPr>
                <w:rFonts w:ascii="Century Gothic" w:eastAsia="Times New Roman" w:hAnsi="Century Gothic" w:cs="Arial"/>
                <w:color w:val="4A4A4A"/>
                <w:lang w:eastAsia="fr-CA"/>
              </w:rPr>
              <w:t xml:space="preserve"> sur ce qu’ils ont besoin de mieux maîtriser</w:t>
            </w:r>
          </w:p>
          <w:p w14:paraId="7768689F" w14:textId="77777777" w:rsidR="0069314C" w:rsidRPr="002F7AA7" w:rsidRDefault="0069314C" w:rsidP="002F7AA7">
            <w:pPr>
              <w:ind w:right="122"/>
              <w:rPr>
                <w:rFonts w:ascii="Century Gothic" w:eastAsia="Times New Roman" w:hAnsi="Century Gothic" w:cs="Arial"/>
                <w:color w:val="4A4A4A"/>
                <w:lang w:eastAsia="fr-CA"/>
              </w:rPr>
            </w:pPr>
          </w:p>
        </w:tc>
      </w:tr>
    </w:tbl>
    <w:p w14:paraId="0505F3C2" w14:textId="77777777" w:rsidR="002F7AA7" w:rsidRDefault="002F7AA7" w:rsidP="002F7AA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4A4A4A"/>
          <w:lang w:eastAsia="fr-CA"/>
        </w:rPr>
      </w:pPr>
    </w:p>
    <w:p w14:paraId="506CF75F" w14:textId="49BAC717" w:rsidR="00B2606C" w:rsidRPr="002F7AA7" w:rsidRDefault="0053119E" w:rsidP="002F7AA7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4A4A4A"/>
          <w:sz w:val="18"/>
          <w:szCs w:val="18"/>
          <w:lang w:eastAsia="fr-CA"/>
        </w:rPr>
      </w:pPr>
      <w:r w:rsidRPr="002F7AA7">
        <w:rPr>
          <w:rFonts w:ascii="Century Gothic" w:eastAsia="Times New Roman" w:hAnsi="Century Gothic" w:cs="Arial"/>
          <w:color w:val="4A4A4A"/>
          <w:sz w:val="18"/>
          <w:szCs w:val="18"/>
          <w:lang w:eastAsia="fr-CA"/>
        </w:rPr>
        <w:t xml:space="preserve">Source : Université de Sherbrooke, </w:t>
      </w:r>
      <w:r w:rsidRPr="002F7AA7">
        <w:rPr>
          <w:rFonts w:ascii="Century Gothic" w:eastAsia="Times New Roman" w:hAnsi="Century Gothic" w:cs="Arial"/>
          <w:i/>
          <w:iCs/>
          <w:color w:val="4A4A4A"/>
          <w:sz w:val="18"/>
          <w:szCs w:val="18"/>
          <w:lang w:eastAsia="fr-CA"/>
        </w:rPr>
        <w:t>Enseigner à l’</w:t>
      </w:r>
      <w:proofErr w:type="spellStart"/>
      <w:r w:rsidRPr="002F7AA7">
        <w:rPr>
          <w:rFonts w:ascii="Century Gothic" w:eastAsia="Times New Roman" w:hAnsi="Century Gothic" w:cs="Arial"/>
          <w:i/>
          <w:iCs/>
          <w:color w:val="4A4A4A"/>
          <w:sz w:val="18"/>
          <w:szCs w:val="18"/>
          <w:lang w:eastAsia="fr-CA"/>
        </w:rPr>
        <w:t>UdeS</w:t>
      </w:r>
      <w:proofErr w:type="spellEnd"/>
      <w:r w:rsidRPr="002F7AA7">
        <w:rPr>
          <w:rFonts w:ascii="Century Gothic" w:eastAsia="Times New Roman" w:hAnsi="Century Gothic" w:cs="Arial"/>
          <w:color w:val="4A4A4A"/>
          <w:sz w:val="18"/>
          <w:szCs w:val="18"/>
          <w:lang w:eastAsia="fr-CA"/>
        </w:rPr>
        <w:t xml:space="preserve">, site consulté en juin 2020 </w:t>
      </w:r>
      <w:hyperlink r:id="rId10" w:history="1">
        <w:r w:rsidRPr="00FF5EE0">
          <w:rPr>
            <w:rStyle w:val="Lienhypertexte"/>
            <w:rFonts w:ascii="Century Gothic" w:eastAsia="Times New Roman" w:hAnsi="Century Gothic" w:cs="Arial"/>
            <w:color w:val="C00000"/>
            <w:sz w:val="18"/>
            <w:szCs w:val="18"/>
            <w:lang w:eastAsia="fr-CA"/>
          </w:rPr>
          <w:t>https://www.usherbrooke.ca/enseigner/passeurs-dintegrite/favoriser-lintegrite/modalites-devaluation/</w:t>
        </w:r>
      </w:hyperlink>
    </w:p>
    <w:sectPr w:rsidR="00B2606C" w:rsidRPr="002F7AA7" w:rsidSect="002F7AA7">
      <w:headerReference w:type="default" r:id="rId11"/>
      <w:footerReference w:type="default" r:id="rId12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9A33" w14:textId="77777777" w:rsidR="002F7AA7" w:rsidRDefault="002F7AA7" w:rsidP="002F7AA7">
      <w:pPr>
        <w:spacing w:after="0" w:line="240" w:lineRule="auto"/>
      </w:pPr>
      <w:r>
        <w:separator/>
      </w:r>
    </w:p>
  </w:endnote>
  <w:endnote w:type="continuationSeparator" w:id="0">
    <w:p w14:paraId="3552F9CE" w14:textId="77777777" w:rsidR="002F7AA7" w:rsidRDefault="002F7AA7" w:rsidP="002F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686A2" w14:textId="43CC478E" w:rsidR="002F7AA7" w:rsidRDefault="002F7AA7">
    <w:pPr>
      <w:pStyle w:val="Pieddepag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E1DF2A" wp14:editId="1598E264">
          <wp:simplePos x="0" y="0"/>
          <wp:positionH relativeFrom="column">
            <wp:posOffset>100827</wp:posOffset>
          </wp:positionH>
          <wp:positionV relativeFrom="paragraph">
            <wp:posOffset>-150467</wp:posOffset>
          </wp:positionV>
          <wp:extent cx="5971540" cy="51879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d-de-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E8889" w14:textId="77777777" w:rsidR="002F7AA7" w:rsidRDefault="002F7AA7" w:rsidP="002F7AA7">
      <w:pPr>
        <w:spacing w:after="0" w:line="240" w:lineRule="auto"/>
      </w:pPr>
      <w:r>
        <w:separator/>
      </w:r>
    </w:p>
  </w:footnote>
  <w:footnote w:type="continuationSeparator" w:id="0">
    <w:p w14:paraId="6BCFA9A4" w14:textId="77777777" w:rsidR="002F7AA7" w:rsidRDefault="002F7AA7" w:rsidP="002F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39B6E" w14:textId="09DE80EC" w:rsidR="002F7AA7" w:rsidRPr="002F7AA7" w:rsidRDefault="002F7AA7">
    <w:pPr>
      <w:pStyle w:val="En-tte"/>
      <w:rPr>
        <w:rFonts w:ascii="Century Gothic" w:hAnsi="Century Gothic"/>
        <w:b/>
        <w:bCs/>
        <w:color w:val="000000" w:themeColor="text1"/>
        <w:sz w:val="48"/>
        <w:szCs w:val="48"/>
      </w:rPr>
    </w:pPr>
    <w:r w:rsidRPr="00EC31FE">
      <w:rPr>
        <w:rFonts w:ascii="Century Gothic" w:hAnsi="Century Gothic"/>
        <w:b/>
        <w:bCs/>
        <w:noProof/>
        <w:color w:val="000000" w:themeColor="text1"/>
        <w:sz w:val="48"/>
        <w:szCs w:val="48"/>
      </w:rPr>
      <w:drawing>
        <wp:anchor distT="0" distB="0" distL="114300" distR="114300" simplePos="0" relativeHeight="251659264" behindDoc="0" locked="0" layoutInCell="1" allowOverlap="1" wp14:anchorId="22750D17" wp14:editId="37C222EE">
          <wp:simplePos x="0" y="0"/>
          <wp:positionH relativeFrom="column">
            <wp:posOffset>4456845</wp:posOffset>
          </wp:positionH>
          <wp:positionV relativeFrom="paragraph">
            <wp:posOffset>11430</wp:posOffset>
          </wp:positionV>
          <wp:extent cx="1638300" cy="6667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color w:val="000000" w:themeColor="text1"/>
        <w:sz w:val="48"/>
        <w:szCs w:val="48"/>
      </w:rPr>
      <w:t>Promotion de l’intégrité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3651D"/>
    <w:multiLevelType w:val="hybridMultilevel"/>
    <w:tmpl w:val="6FF2F722"/>
    <w:lvl w:ilvl="0" w:tplc="AD180B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214E3"/>
    <w:multiLevelType w:val="multilevel"/>
    <w:tmpl w:val="1448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C97727"/>
    <w:multiLevelType w:val="multilevel"/>
    <w:tmpl w:val="A9EA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7C3A4E"/>
    <w:multiLevelType w:val="multilevel"/>
    <w:tmpl w:val="145C4D30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A7"/>
    <w:rsid w:val="002F7AA7"/>
    <w:rsid w:val="00336500"/>
    <w:rsid w:val="003F0A61"/>
    <w:rsid w:val="00403685"/>
    <w:rsid w:val="0053119E"/>
    <w:rsid w:val="0069314C"/>
    <w:rsid w:val="00952FA7"/>
    <w:rsid w:val="00995CD4"/>
    <w:rsid w:val="00B2606C"/>
    <w:rsid w:val="00C4325C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DF29B9"/>
  <w15:chartTrackingRefBased/>
  <w15:docId w15:val="{B82E7091-327C-4C70-B772-8383BFC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52F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52FA7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customStyle="1" w:styleId="bodytext">
    <w:name w:val="bodytext"/>
    <w:basedOn w:val="Normal"/>
    <w:rsid w:val="00952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952FA7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69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F7A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7AA7"/>
  </w:style>
  <w:style w:type="paragraph" w:styleId="Pieddepage">
    <w:name w:val="footer"/>
    <w:basedOn w:val="Normal"/>
    <w:link w:val="PieddepageCar"/>
    <w:uiPriority w:val="99"/>
    <w:unhideWhenUsed/>
    <w:rsid w:val="002F7A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7AA7"/>
  </w:style>
  <w:style w:type="character" w:styleId="Mentionnonrsolue">
    <w:name w:val="Unresolved Mention"/>
    <w:basedOn w:val="Policepardfaut"/>
    <w:uiPriority w:val="99"/>
    <w:semiHidden/>
    <w:unhideWhenUsed/>
    <w:rsid w:val="002F7AA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95CD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95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sherbrooke.ca/enseigner/passeurs-dintegrite/favoriser-lintegrite/modalites-devalu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5d8427f-b463-4391-a8a3-53412c50eaa9" xsi:nil="true"/>
    <Math_Settings xmlns="65d8427f-b463-4391-a8a3-53412c50eaa9" xsi:nil="true"/>
    <Has_Leaders_Only_SectionGroup xmlns="65d8427f-b463-4391-a8a3-53412c50eaa9" xsi:nil="true"/>
    <Teachers xmlns="65d8427f-b463-4391-a8a3-53412c50eaa9">
      <UserInfo>
        <DisplayName/>
        <AccountId xsi:nil="true"/>
        <AccountType/>
      </UserInfo>
    </Teachers>
    <Student_Groups xmlns="65d8427f-b463-4391-a8a3-53412c50eaa9">
      <UserInfo>
        <DisplayName/>
        <AccountId xsi:nil="true"/>
        <AccountType/>
      </UserInfo>
    </Student_Groups>
    <Distribution_Groups xmlns="65d8427f-b463-4391-a8a3-53412c50eaa9" xsi:nil="true"/>
    <AppVersion xmlns="65d8427f-b463-4391-a8a3-53412c50eaa9" xsi:nil="true"/>
    <TeamsChannelId xmlns="65d8427f-b463-4391-a8a3-53412c50eaa9" xsi:nil="true"/>
    <IsNotebookLocked xmlns="65d8427f-b463-4391-a8a3-53412c50eaa9" xsi:nil="true"/>
    <Invited_Members xmlns="65d8427f-b463-4391-a8a3-53412c50eaa9" xsi:nil="true"/>
    <Has_Teacher_Only_SectionGroup xmlns="65d8427f-b463-4391-a8a3-53412c50eaa9" xsi:nil="true"/>
    <Students xmlns="65d8427f-b463-4391-a8a3-53412c50eaa9">
      <UserInfo>
        <DisplayName/>
        <AccountId xsi:nil="true"/>
        <AccountType/>
      </UserInfo>
    </Students>
    <Invited_Leaders xmlns="65d8427f-b463-4391-a8a3-53412c50eaa9" xsi:nil="true"/>
    <DefaultSectionNames xmlns="65d8427f-b463-4391-a8a3-53412c50eaa9" xsi:nil="true"/>
    <Is_Collaboration_Space_Locked xmlns="65d8427f-b463-4391-a8a3-53412c50eaa9" xsi:nil="true"/>
    <Self_Registration_Enabled xmlns="65d8427f-b463-4391-a8a3-53412c50eaa9" xsi:nil="true"/>
    <Member_Groups xmlns="65d8427f-b463-4391-a8a3-53412c50eaa9">
      <UserInfo>
        <DisplayName/>
        <AccountId xsi:nil="true"/>
        <AccountType/>
      </UserInfo>
    </Member_Groups>
    <Invited_Teachers xmlns="65d8427f-b463-4391-a8a3-53412c50eaa9" xsi:nil="true"/>
    <LMS_Mappings xmlns="65d8427f-b463-4391-a8a3-53412c50eaa9" xsi:nil="true"/>
    <Members xmlns="65d8427f-b463-4391-a8a3-53412c50eaa9">
      <UserInfo>
        <DisplayName/>
        <AccountId xsi:nil="true"/>
        <AccountType/>
      </UserInfo>
    </Members>
    <NotebookType xmlns="65d8427f-b463-4391-a8a3-53412c50eaa9" xsi:nil="true"/>
    <Leaders xmlns="65d8427f-b463-4391-a8a3-53412c50eaa9">
      <UserInfo>
        <DisplayName/>
        <AccountId xsi:nil="true"/>
        <AccountType/>
      </UserInfo>
    </Leaders>
    <FolderType xmlns="65d8427f-b463-4391-a8a3-53412c50eaa9" xsi:nil="true"/>
    <Owner xmlns="65d8427f-b463-4391-a8a3-53412c50eaa9">
      <UserInfo>
        <DisplayName/>
        <AccountId xsi:nil="true"/>
        <AccountType/>
      </UserInfo>
    </Owner>
    <CultureName xmlns="65d8427f-b463-4391-a8a3-53412c50eaa9" xsi:nil="true"/>
    <Invited_Students xmlns="65d8427f-b463-4391-a8a3-53412c50ea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4C3B7FB928C43A09979352C330291" ma:contentTypeVersion="39" ma:contentTypeDescription="Crée un document." ma:contentTypeScope="" ma:versionID="45427b1b48ee44089471fea13073c0c1">
  <xsd:schema xmlns:xsd="http://www.w3.org/2001/XMLSchema" xmlns:xs="http://www.w3.org/2001/XMLSchema" xmlns:p="http://schemas.microsoft.com/office/2006/metadata/properties" xmlns:ns3="d72243fa-7dc5-422e-88fa-ff5924032e84" xmlns:ns4="65d8427f-b463-4391-a8a3-53412c50eaa9" targetNamespace="http://schemas.microsoft.com/office/2006/metadata/properties" ma:root="true" ma:fieldsID="17e0fbb0103bd627526ba5092506f0cb" ns3:_="" ns4:_="">
    <xsd:import namespace="d72243fa-7dc5-422e-88fa-ff5924032e84"/>
    <xsd:import namespace="65d8427f-b463-4391-a8a3-53412c50ea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Tags" minOccurs="0"/>
                <xsd:element ref="ns4:MediaServiceLocation" minOccurs="0"/>
                <xsd:element ref="ns4:MediaServiceOCR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Has_Leaders_Only_SectionGroup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243fa-7dc5-422e-88fa-ff5924032e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8427f-b463-4391-a8a3-53412c50ea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4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4229C-C3C3-4D0F-91C4-2A372649AFCC}">
  <ds:schemaRefs>
    <ds:schemaRef ds:uri="http://schemas.microsoft.com/office/2006/metadata/properties"/>
    <ds:schemaRef ds:uri="http://schemas.microsoft.com/office/infopath/2007/PartnerControls"/>
    <ds:schemaRef ds:uri="65d8427f-b463-4391-a8a3-53412c50eaa9"/>
  </ds:schemaRefs>
</ds:datastoreItem>
</file>

<file path=customXml/itemProps2.xml><?xml version="1.0" encoding="utf-8"?>
<ds:datastoreItem xmlns:ds="http://schemas.openxmlformats.org/officeDocument/2006/customXml" ds:itemID="{5D50C4E8-0C22-4680-ABF8-DDC280E69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243fa-7dc5-422e-88fa-ff5924032e84"/>
    <ds:schemaRef ds:uri="65d8427f-b463-4391-a8a3-53412c50e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90AA1-C5F0-4DE6-A687-F0A0FCD68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Doré, Roxane</dc:creator>
  <cp:keywords/>
  <dc:description/>
  <cp:lastModifiedBy>René, Julie</cp:lastModifiedBy>
  <cp:revision>4</cp:revision>
  <dcterms:created xsi:type="dcterms:W3CDTF">2020-06-29T17:15:00Z</dcterms:created>
  <dcterms:modified xsi:type="dcterms:W3CDTF">2020-06-29T17:35:00Z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0x010100F794C3B7FB928C43A09979352C330291</vt:lpwstr>
  </property>
</Properties>
</file>